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FF" w:rsidRDefault="009C108B">
      <w:pPr>
        <w:pBdr>
          <w:top w:val="none" w:sz="0" w:space="0" w:color="auto"/>
          <w:left w:val="none" w:sz="0" w:space="0" w:color="auto"/>
          <w:bottom w:val="none" w:sz="0" w:space="0" w:color="auto"/>
          <w:right w:val="none" w:sz="0" w:space="0" w:color="auto"/>
        </w:pBdr>
        <w:tabs>
          <w:tab w:val="right" w:pos="10286"/>
        </w:tabs>
        <w:spacing w:after="0" w:line="259" w:lineRule="auto"/>
        <w:ind w:left="0" w:right="-904" w:firstLine="0"/>
        <w:rPr>
          <w:sz w:val="36"/>
          <w:vertAlign w:val="subscript"/>
        </w:rPr>
      </w:pPr>
      <w:r>
        <w:rPr>
          <w:b/>
          <w:color w:val="104F75"/>
          <w:sz w:val="36"/>
        </w:rPr>
        <w:t xml:space="preserve">Pupil premium strategy statement </w:t>
      </w:r>
      <w:r>
        <w:rPr>
          <w:sz w:val="36"/>
          <w:vertAlign w:val="subscript"/>
        </w:rPr>
        <w:t xml:space="preserve"> </w:t>
      </w:r>
    </w:p>
    <w:p w:rsidR="00874EF7" w:rsidRDefault="009C108B">
      <w:pPr>
        <w:pBdr>
          <w:top w:val="none" w:sz="0" w:space="0" w:color="auto"/>
          <w:left w:val="none" w:sz="0" w:space="0" w:color="auto"/>
          <w:bottom w:val="none" w:sz="0" w:space="0" w:color="auto"/>
          <w:right w:val="none" w:sz="0" w:space="0" w:color="auto"/>
        </w:pBdr>
        <w:tabs>
          <w:tab w:val="right" w:pos="10286"/>
        </w:tabs>
        <w:spacing w:after="0" w:line="259" w:lineRule="auto"/>
        <w:ind w:left="0" w:right="-904" w:firstLine="0"/>
      </w:pPr>
      <w:r>
        <w:rPr>
          <w:sz w:val="36"/>
          <w:vertAlign w:val="subscript"/>
        </w:rPr>
        <w:tab/>
      </w:r>
      <w:r>
        <w:rPr>
          <w:noProof/>
        </w:rPr>
        <w:drawing>
          <wp:inline distT="0" distB="0" distL="0" distR="0">
            <wp:extent cx="714756" cy="716280"/>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6"/>
                    <a:stretch>
                      <a:fillRect/>
                    </a:stretch>
                  </pic:blipFill>
                  <pic:spPr>
                    <a:xfrm>
                      <a:off x="0" y="0"/>
                      <a:ext cx="714756" cy="716280"/>
                    </a:xfrm>
                    <a:prstGeom prst="rect">
                      <a:avLst/>
                    </a:prstGeom>
                  </pic:spPr>
                </pic:pic>
              </a:graphicData>
            </a:graphic>
          </wp:inline>
        </w:drawing>
      </w:r>
    </w:p>
    <w:p w:rsidR="00874EF7" w:rsidRDefault="009C108B">
      <w:pPr>
        <w:pBdr>
          <w:top w:val="none" w:sz="0" w:space="0" w:color="auto"/>
          <w:left w:val="none" w:sz="0" w:space="0" w:color="auto"/>
          <w:bottom w:val="none" w:sz="0" w:space="0" w:color="auto"/>
          <w:right w:val="none" w:sz="0" w:space="0" w:color="auto"/>
        </w:pBdr>
        <w:spacing w:after="7" w:line="255" w:lineRule="auto"/>
        <w:ind w:left="-5" w:hanging="10"/>
      </w:pPr>
      <w:r>
        <w:rPr>
          <w:color w:val="000000"/>
          <w:sz w:val="24"/>
        </w:rPr>
        <w:t>This statement details our school’s use of pupil premium</w:t>
      </w:r>
      <w:r w:rsidR="006324FF">
        <w:rPr>
          <w:color w:val="000000"/>
          <w:sz w:val="24"/>
        </w:rPr>
        <w:t xml:space="preserve"> </w:t>
      </w:r>
      <w:r>
        <w:rPr>
          <w:color w:val="000000"/>
          <w:sz w:val="24"/>
        </w:rPr>
        <w:t xml:space="preserve">and recovery premium for the </w:t>
      </w:r>
      <w:r>
        <w:t xml:space="preserve"> </w:t>
      </w:r>
    </w:p>
    <w:p w:rsidR="00874EF7" w:rsidRDefault="009C108B">
      <w:pPr>
        <w:pBdr>
          <w:top w:val="none" w:sz="0" w:space="0" w:color="auto"/>
          <w:left w:val="none" w:sz="0" w:space="0" w:color="auto"/>
          <w:bottom w:val="none" w:sz="0" w:space="0" w:color="auto"/>
          <w:right w:val="none" w:sz="0" w:space="0" w:color="auto"/>
        </w:pBdr>
        <w:spacing w:after="224" w:line="255" w:lineRule="auto"/>
        <w:ind w:left="-5" w:hanging="10"/>
      </w:pPr>
      <w:r>
        <w:rPr>
          <w:color w:val="000000"/>
          <w:sz w:val="24"/>
        </w:rPr>
        <w:t>2022 to 2023 academic year</w:t>
      </w:r>
      <w:r>
        <w:rPr>
          <w:color w:val="000000"/>
          <w:sz w:val="24"/>
        </w:rPr>
        <w:t xml:space="preserve"> funding to help improve the attainment of our disadvantaged pupils.  </w:t>
      </w:r>
      <w:r>
        <w:t xml:space="preserve"> </w:t>
      </w:r>
    </w:p>
    <w:p w:rsidR="00874EF7" w:rsidRDefault="009C108B">
      <w:pPr>
        <w:pBdr>
          <w:top w:val="none" w:sz="0" w:space="0" w:color="auto"/>
          <w:left w:val="none" w:sz="0" w:space="0" w:color="auto"/>
          <w:bottom w:val="none" w:sz="0" w:space="0" w:color="auto"/>
          <w:right w:val="none" w:sz="0" w:space="0" w:color="auto"/>
        </w:pBdr>
        <w:spacing w:after="615" w:line="255" w:lineRule="auto"/>
        <w:ind w:left="-5" w:hanging="10"/>
      </w:pPr>
      <w:r>
        <w:rPr>
          <w:color w:val="000000"/>
          <w:sz w:val="24"/>
        </w:rPr>
        <w:t>It outlines our pupil premium strategy, how we intend to spend the f</w:t>
      </w:r>
      <w:r>
        <w:rPr>
          <w:color w:val="000000"/>
          <w:sz w:val="24"/>
        </w:rPr>
        <w:t xml:space="preserve">unding in this academic year and the effect that last year’s spending of pupil premium had within our school.  </w:t>
      </w:r>
      <w:r>
        <w:t xml:space="preserve"> </w:t>
      </w:r>
    </w:p>
    <w:p w:rsidR="00874EF7" w:rsidRDefault="009C108B">
      <w:pPr>
        <w:pStyle w:val="Heading1"/>
        <w:ind w:left="-5"/>
      </w:pPr>
      <w:r>
        <w:t xml:space="preserve">School overview  </w:t>
      </w:r>
    </w:p>
    <w:tbl>
      <w:tblPr>
        <w:tblStyle w:val="TableGrid"/>
        <w:tblW w:w="9486" w:type="dxa"/>
        <w:tblInd w:w="28" w:type="dxa"/>
        <w:tblCellMar>
          <w:top w:w="53" w:type="dxa"/>
          <w:left w:w="107" w:type="dxa"/>
          <w:bottom w:w="0" w:type="dxa"/>
          <w:right w:w="115" w:type="dxa"/>
        </w:tblCellMar>
        <w:tblLook w:val="04A0" w:firstRow="1" w:lastRow="0" w:firstColumn="1" w:lastColumn="0" w:noHBand="0" w:noVBand="1"/>
      </w:tblPr>
      <w:tblGrid>
        <w:gridCol w:w="6518"/>
        <w:gridCol w:w="2968"/>
      </w:tblGrid>
      <w:tr w:rsidR="00874EF7">
        <w:trPr>
          <w:trHeight w:val="452"/>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b/>
                <w:sz w:val="24"/>
              </w:rPr>
              <w:t xml:space="preserve">Detail </w:t>
            </w:r>
            <w: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b/>
                <w:sz w:val="24"/>
              </w:rPr>
              <w:t xml:space="preserve">Data </w:t>
            </w:r>
            <w:r>
              <w:t xml:space="preserve"> </w:t>
            </w:r>
          </w:p>
        </w:tc>
      </w:tr>
      <w:tr w:rsidR="00874EF7">
        <w:trPr>
          <w:trHeight w:val="714"/>
        </w:trPr>
        <w:tc>
          <w:tcPr>
            <w:tcW w:w="65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sz w:val="24"/>
              </w:rPr>
              <w:t xml:space="preserve">School name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 xml:space="preserve">Pentland Infant and Nursery School  </w:t>
            </w:r>
          </w:p>
        </w:tc>
      </w:tr>
      <w:tr w:rsidR="00874EF7">
        <w:trPr>
          <w:trHeight w:val="773"/>
        </w:trPr>
        <w:tc>
          <w:tcPr>
            <w:tcW w:w="65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sz w:val="24"/>
              </w:rPr>
              <w:t xml:space="preserve">Number of pupils in school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41" w:line="259" w:lineRule="auto"/>
              <w:ind w:left="58" w:firstLine="0"/>
            </w:pPr>
            <w:r>
              <w:t xml:space="preserve">Reception to Yr 2: 133  </w:t>
            </w:r>
          </w:p>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 xml:space="preserve">(Pre-School to Yr 2): 188  </w:t>
            </w:r>
          </w:p>
        </w:tc>
      </w:tr>
      <w:tr w:rsidR="00874EF7">
        <w:trPr>
          <w:trHeight w:val="1027"/>
        </w:trPr>
        <w:tc>
          <w:tcPr>
            <w:tcW w:w="65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sz w:val="24"/>
              </w:rPr>
              <w:t xml:space="preserve">Proportion (%) of pupil premium eligible pupils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40" w:line="259" w:lineRule="auto"/>
              <w:ind w:left="58" w:firstLine="0"/>
            </w:pPr>
            <w:r>
              <w:t xml:space="preserve">24.5%(Rec to Yr2)  </w:t>
            </w:r>
          </w:p>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10.22%</w:t>
            </w:r>
            <w:r>
              <w:rPr>
                <w:color w:val="00B050"/>
              </w:rPr>
              <w:t xml:space="preserve"> </w:t>
            </w:r>
            <w:r>
              <w:t xml:space="preserve">(Pre-school to  </w:t>
            </w:r>
          </w:p>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 xml:space="preserve">Yr2)  </w:t>
            </w:r>
          </w:p>
        </w:tc>
      </w:tr>
      <w:tr w:rsidR="00874EF7">
        <w:trPr>
          <w:trHeight w:val="773"/>
        </w:trPr>
        <w:tc>
          <w:tcPr>
            <w:tcW w:w="65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sz w:val="24"/>
              </w:rPr>
              <w:t xml:space="preserve">Academic year/years that our current pupil premium strategy plan covers </w:t>
            </w:r>
            <w:r>
              <w:rPr>
                <w:b/>
                <w:sz w:val="24"/>
              </w:rPr>
              <w:t>(3 year plans are recommended)</w:t>
            </w:r>
            <w:r>
              <w:rPr>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38" w:line="259" w:lineRule="auto"/>
              <w:ind w:left="58" w:firstLine="0"/>
            </w:pPr>
            <w:r>
              <w:t xml:space="preserve">2021/2022 to   </w:t>
            </w:r>
          </w:p>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 xml:space="preserve">2024/2025  </w:t>
            </w:r>
          </w:p>
        </w:tc>
      </w:tr>
      <w:tr w:rsidR="00874EF7">
        <w:trPr>
          <w:trHeight w:val="485"/>
        </w:trPr>
        <w:tc>
          <w:tcPr>
            <w:tcW w:w="65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sz w:val="24"/>
              </w:rPr>
              <w:t xml:space="preserve">Date this statement was published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 xml:space="preserve">December 2022  </w:t>
            </w:r>
          </w:p>
        </w:tc>
      </w:tr>
      <w:tr w:rsidR="00874EF7">
        <w:trPr>
          <w:trHeight w:val="482"/>
        </w:trPr>
        <w:tc>
          <w:tcPr>
            <w:tcW w:w="65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sz w:val="24"/>
              </w:rPr>
              <w:t xml:space="preserve">Date on which it will be reviewed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t xml:space="preserve">June 2023  </w:t>
            </w:r>
          </w:p>
        </w:tc>
      </w:tr>
      <w:tr w:rsidR="00874EF7">
        <w:trPr>
          <w:trHeight w:val="773"/>
        </w:trPr>
        <w:tc>
          <w:tcPr>
            <w:tcW w:w="65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sz w:val="24"/>
              </w:rPr>
              <w:t xml:space="preserve">Statement authorised by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38" w:line="259" w:lineRule="auto"/>
              <w:ind w:left="58" w:firstLine="0"/>
            </w:pPr>
            <w:r>
              <w:t xml:space="preserve">Pat Barker </w:t>
            </w:r>
          </w:p>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 xml:space="preserve">Interim Headteacher  </w:t>
            </w:r>
          </w:p>
        </w:tc>
      </w:tr>
      <w:tr w:rsidR="00874EF7">
        <w:trPr>
          <w:trHeight w:val="773"/>
        </w:trPr>
        <w:tc>
          <w:tcPr>
            <w:tcW w:w="65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sz w:val="24"/>
              </w:rPr>
              <w:t xml:space="preserve">Pupil premium lead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38" w:line="259" w:lineRule="auto"/>
              <w:ind w:left="58" w:firstLine="0"/>
            </w:pPr>
            <w:r>
              <w:t xml:space="preserve">Pat Barker  </w:t>
            </w:r>
          </w:p>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 xml:space="preserve">Interim Headteacher  </w:t>
            </w:r>
          </w:p>
        </w:tc>
      </w:tr>
      <w:tr w:rsidR="00874EF7">
        <w:trPr>
          <w:trHeight w:val="485"/>
        </w:trPr>
        <w:tc>
          <w:tcPr>
            <w:tcW w:w="65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sz w:val="24"/>
              </w:rPr>
              <w:t xml:space="preserve">Governor / Trustee lead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sz w:val="24"/>
              </w:rPr>
              <w:t xml:space="preserve">Ashraf Mulla </w:t>
            </w:r>
            <w:r>
              <w:t xml:space="preserve"> </w:t>
            </w:r>
          </w:p>
        </w:tc>
      </w:tr>
    </w:tbl>
    <w:p w:rsidR="00874EF7" w:rsidRDefault="009C108B">
      <w:pPr>
        <w:pBdr>
          <w:top w:val="none" w:sz="0" w:space="0" w:color="auto"/>
          <w:left w:val="none" w:sz="0" w:space="0" w:color="auto"/>
          <w:bottom w:val="none" w:sz="0" w:space="0" w:color="auto"/>
          <w:right w:val="none" w:sz="0" w:space="0" w:color="auto"/>
        </w:pBdr>
        <w:spacing w:after="373" w:line="259" w:lineRule="auto"/>
        <w:ind w:left="14" w:firstLine="0"/>
      </w:pPr>
      <w:r>
        <w:rPr>
          <w:b/>
          <w:color w:val="104F75"/>
          <w:sz w:val="32"/>
        </w:rPr>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after="374" w:line="259" w:lineRule="auto"/>
        <w:ind w:left="14" w:firstLine="0"/>
      </w:pPr>
      <w:r>
        <w:rPr>
          <w:b/>
          <w:color w:val="104F75"/>
          <w:sz w:val="32"/>
        </w:rPr>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14" w:firstLine="0"/>
      </w:pPr>
      <w:r>
        <w:rPr>
          <w:b/>
          <w:color w:val="104F75"/>
          <w:sz w:val="32"/>
        </w:rPr>
        <w:t xml:space="preserve"> </w:t>
      </w:r>
      <w:r>
        <w:t xml:space="preserve"> </w:t>
      </w:r>
    </w:p>
    <w:p w:rsidR="00874EF7" w:rsidRDefault="009C108B">
      <w:pPr>
        <w:pStyle w:val="Heading1"/>
        <w:ind w:left="-5"/>
      </w:pPr>
      <w:r>
        <w:t xml:space="preserve">Funding overview  </w:t>
      </w:r>
    </w:p>
    <w:tbl>
      <w:tblPr>
        <w:tblStyle w:val="TableGrid"/>
        <w:tblW w:w="9486" w:type="dxa"/>
        <w:tblInd w:w="28" w:type="dxa"/>
        <w:tblCellMar>
          <w:top w:w="53" w:type="dxa"/>
          <w:left w:w="164" w:type="dxa"/>
          <w:bottom w:w="0" w:type="dxa"/>
          <w:right w:w="115" w:type="dxa"/>
        </w:tblCellMar>
        <w:tblLook w:val="04A0" w:firstRow="1" w:lastRow="0" w:firstColumn="1" w:lastColumn="0" w:noHBand="0" w:noVBand="1"/>
      </w:tblPr>
      <w:tblGrid>
        <w:gridCol w:w="6518"/>
        <w:gridCol w:w="2968"/>
      </w:tblGrid>
      <w:tr w:rsidR="00874EF7">
        <w:trPr>
          <w:trHeight w:val="45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b/>
                <w:sz w:val="24"/>
              </w:rPr>
              <w:t>Detail</w:t>
            </w:r>
            <w:r>
              <w:rPr>
                <w:sz w:val="24"/>
              </w:rPr>
              <w:t xml:space="preserve"> </w:t>
            </w:r>
            <w: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2" w:firstLine="0"/>
            </w:pPr>
            <w:r>
              <w:rPr>
                <w:b/>
                <w:sz w:val="24"/>
              </w:rPr>
              <w:t>Amount</w:t>
            </w:r>
            <w:r>
              <w:rPr>
                <w:sz w:val="24"/>
              </w:rPr>
              <w:t xml:space="preserve"> </w:t>
            </w:r>
            <w:r>
              <w:t xml:space="preserve"> </w:t>
            </w:r>
          </w:p>
        </w:tc>
      </w:tr>
      <w:tr w:rsidR="00874EF7">
        <w:trPr>
          <w:trHeight w:val="486"/>
        </w:trPr>
        <w:tc>
          <w:tcPr>
            <w:tcW w:w="65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sz w:val="24"/>
              </w:rPr>
              <w:lastRenderedPageBreak/>
              <w:t xml:space="preserve">Pupil premium funding allocation this academic year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2" w:firstLine="0"/>
            </w:pPr>
            <w:r>
              <w:rPr>
                <w:sz w:val="24"/>
              </w:rPr>
              <w:t xml:space="preserve">£20775 </w:t>
            </w:r>
            <w:r>
              <w:t xml:space="preserve"> </w:t>
            </w:r>
          </w:p>
        </w:tc>
      </w:tr>
      <w:tr w:rsidR="00874EF7">
        <w:trPr>
          <w:trHeight w:val="482"/>
        </w:trPr>
        <w:tc>
          <w:tcPr>
            <w:tcW w:w="65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sz w:val="24"/>
              </w:rPr>
              <w:t xml:space="preserve">Recovery premium funding allocation this academic year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2" w:firstLine="0"/>
            </w:pPr>
            <w:r>
              <w:rPr>
                <w:sz w:val="24"/>
              </w:rPr>
              <w:t xml:space="preserve">£ 2083 </w:t>
            </w:r>
            <w:r>
              <w:t xml:space="preserve"> </w:t>
            </w:r>
          </w:p>
        </w:tc>
      </w:tr>
      <w:tr w:rsidR="00874EF7">
        <w:trPr>
          <w:trHeight w:val="761"/>
        </w:trPr>
        <w:tc>
          <w:tcPr>
            <w:tcW w:w="65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right="15" w:firstLine="0"/>
            </w:pPr>
            <w:r>
              <w:rPr>
                <w:sz w:val="24"/>
              </w:rPr>
              <w:t xml:space="preserve">Pupil premium funding carried forward from previous years (enter £0 if not applicable)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2" w:firstLine="0"/>
            </w:pPr>
            <w:r>
              <w:rPr>
                <w:sz w:val="24"/>
              </w:rPr>
              <w:t xml:space="preserve">£0 </w:t>
            </w:r>
            <w:r>
              <w:t xml:space="preserve"> </w:t>
            </w:r>
          </w:p>
        </w:tc>
      </w:tr>
      <w:tr w:rsidR="00874EF7">
        <w:trPr>
          <w:trHeight w:val="1373"/>
        </w:trPr>
        <w:tc>
          <w:tcPr>
            <w:tcW w:w="65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40" w:line="259" w:lineRule="auto"/>
              <w:ind w:left="0" w:firstLine="0"/>
            </w:pPr>
            <w:r>
              <w:rPr>
                <w:b/>
                <w:sz w:val="24"/>
              </w:rPr>
              <w:t xml:space="preserve">Total budget for this academic year </w:t>
            </w: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sz w:val="24"/>
              </w:rPr>
              <w:t xml:space="preserve">If your school is an academy in a trust that pools this funding, state the amount available to your school this academic year </w:t>
            </w:r>
            <w:r>
              <w:t xml:space="preserve"> </w:t>
            </w:r>
          </w:p>
        </w:tc>
        <w:tc>
          <w:tcPr>
            <w:tcW w:w="296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2" w:firstLine="0"/>
            </w:pPr>
            <w:r>
              <w:rPr>
                <w:sz w:val="24"/>
              </w:rPr>
              <w:t xml:space="preserve">£22858 </w:t>
            </w:r>
            <w:r>
              <w:t xml:space="preserve"> </w:t>
            </w:r>
          </w:p>
        </w:tc>
      </w:tr>
    </w:tbl>
    <w:p w:rsidR="00874EF7" w:rsidRDefault="009C108B">
      <w:pPr>
        <w:pBdr>
          <w:top w:val="none" w:sz="0" w:space="0" w:color="auto"/>
          <w:left w:val="none" w:sz="0" w:space="0" w:color="auto"/>
          <w:bottom w:val="none" w:sz="0" w:space="0" w:color="auto"/>
          <w:right w:val="none" w:sz="0" w:space="0" w:color="auto"/>
        </w:pBdr>
        <w:spacing w:after="0" w:line="259" w:lineRule="auto"/>
        <w:ind w:left="0" w:right="6301" w:firstLine="0"/>
        <w:jc w:val="right"/>
      </w:pPr>
      <w:r>
        <w:t xml:space="preserve"> </w:t>
      </w:r>
      <w:r>
        <w:tab/>
        <w:t xml:space="preserve"> </w:t>
      </w:r>
      <w:r>
        <w:br w:type="page"/>
      </w:r>
    </w:p>
    <w:p w:rsidR="00874EF7" w:rsidRDefault="009C108B">
      <w:pPr>
        <w:pBdr>
          <w:top w:val="none" w:sz="0" w:space="0" w:color="auto"/>
          <w:left w:val="none" w:sz="0" w:space="0" w:color="auto"/>
          <w:bottom w:val="none" w:sz="0" w:space="0" w:color="auto"/>
          <w:right w:val="none" w:sz="0" w:space="0" w:color="auto"/>
        </w:pBdr>
        <w:spacing w:after="458" w:line="259" w:lineRule="auto"/>
        <w:ind w:left="14" w:firstLine="0"/>
      </w:pPr>
      <w:r>
        <w:rPr>
          <w:b/>
          <w:color w:val="104F75"/>
          <w:sz w:val="28"/>
          <w:u w:val="single" w:color="104F75"/>
        </w:rPr>
        <w:lastRenderedPageBreak/>
        <w:t>Pentland Infant and Nursery School Pupil Premium Strategy Plan</w:t>
      </w:r>
      <w:r>
        <w:rPr>
          <w:b/>
          <w:color w:val="104F75"/>
          <w:sz w:val="28"/>
        </w:rPr>
        <w:t xml:space="preserve"> </w:t>
      </w:r>
      <w:r>
        <w:t xml:space="preserve"> </w:t>
      </w:r>
    </w:p>
    <w:p w:rsidR="00874EF7" w:rsidRDefault="009C108B">
      <w:pPr>
        <w:pStyle w:val="Heading2"/>
        <w:ind w:left="-5"/>
      </w:pPr>
      <w:r>
        <w:t xml:space="preserve">Statement of intent  </w:t>
      </w:r>
    </w:p>
    <w:p w:rsidR="00874EF7" w:rsidRDefault="009C108B">
      <w:pPr>
        <w:ind w:left="120"/>
      </w:pPr>
      <w:r>
        <w:t xml:space="preserve">At Pentland Infant and Nursery School we have high expectations for all pupils in our school, and believe that with excellent teaching, effective engagement with parents and a personalised approach to meet children’s individual needs, every child can </w:t>
      </w:r>
      <w:r>
        <w:rPr>
          <w:color w:val="000000"/>
        </w:rPr>
        <w:t xml:space="preserve">make </w:t>
      </w:r>
      <w:r>
        <w:rPr>
          <w:color w:val="000000"/>
        </w:rPr>
        <w:t>good progress and achieve well, irrespective of their backgrounds or individual challenges</w:t>
      </w:r>
      <w:r>
        <w:t xml:space="preserve">.   </w:t>
      </w:r>
    </w:p>
    <w:p w:rsidR="00874EF7" w:rsidRDefault="009C108B">
      <w:pPr>
        <w:ind w:left="120"/>
      </w:pPr>
      <w:r>
        <w:t>In order to help achieve this, using assessment data, professional observations and judgements and knowledge and information from parents, we apply an intersecti</w:t>
      </w:r>
      <w:r>
        <w:t>onal lens to unpick each child’s individual barriers to learning. We make no assumptions about the impact of being eligible for pupil premium. This in turn helps to inform the shaping of interventions and the support offered to children, in order to help t</w:t>
      </w:r>
      <w:r>
        <w:t xml:space="preserve">hem to overcome these challenges and barriers to learning.   </w:t>
      </w:r>
    </w:p>
    <w:p w:rsidR="00874EF7" w:rsidRDefault="009C108B">
      <w:pPr>
        <w:ind w:left="120"/>
      </w:pPr>
      <w:r>
        <w:t>We provide a rich and varied curriculum, with creative learning opportunities, which contributes to all our pupils being stimulated and engaged in learning, thereby helping them to make very goo</w:t>
      </w:r>
      <w:r>
        <w:t xml:space="preserve">d progress whilst at Pentland.   </w:t>
      </w:r>
    </w:p>
    <w:p w:rsidR="00874EF7" w:rsidRDefault="009C108B">
      <w:pPr>
        <w:ind w:left="120"/>
      </w:pPr>
      <w:r>
        <w:t>Key interventions and approaches are adopted on a whole school level and are not only restricted to pupils eligible for the Pupil Premium. Some specific interventions and school initiatives have been made possible by alloc</w:t>
      </w:r>
      <w:r>
        <w:t>ating the Pupil Premium and/or catch-up funding. Our strategies target the individualised needs of our children in receipt of Pupil Premium, with the main aim being that these children do as well as their peers with similar starting points, who are not eli</w:t>
      </w:r>
      <w:r>
        <w:t xml:space="preserve">gible for the Pupil Premium.   </w:t>
      </w:r>
    </w:p>
    <w:p w:rsidR="00874EF7" w:rsidRDefault="009C108B">
      <w:pPr>
        <w:spacing w:after="258"/>
        <w:ind w:left="120"/>
      </w:pPr>
      <w:r>
        <w:t>School leaders at Pentland Infant and Nursery School are committed to ensuring that all of our disadvantaged pupils, including those who are able, gifted and talented, receive teaching which is at least good in every lesson.</w:t>
      </w:r>
      <w:r>
        <w:t xml:space="preserve">  In this respect, we place a high value on training the whole staff team – teachers and teaching assistants – in order that high quality and consistent approaches are offered to all children to support their on-going progress.   </w:t>
      </w:r>
    </w:p>
    <w:p w:rsidR="00874EF7" w:rsidRDefault="009C108B">
      <w:pPr>
        <w:spacing w:after="5"/>
        <w:ind w:left="120"/>
      </w:pPr>
      <w:r>
        <w:t>Any disadvantaged childre</w:t>
      </w:r>
      <w:r>
        <w:t>n who have ‘fallen behind’ their peers, with similar starting points, receive frequent intervention and daily support. Responsibility for disadvantaged pupils’              outcomes is everyone’s within the staff team; staff are expected have high expectat</w:t>
      </w:r>
      <w:r>
        <w:t xml:space="preserve">ions of all children and to </w:t>
      </w:r>
      <w:r>
        <w:rPr>
          <w:color w:val="000000"/>
        </w:rPr>
        <w:t xml:space="preserve">act early to intervene at the point any need is identified. </w:t>
      </w:r>
      <w:r>
        <w:t xml:space="preserve"> </w:t>
      </w:r>
    </w:p>
    <w:p w:rsidR="00874EF7" w:rsidRDefault="009C108B">
      <w:pPr>
        <w:spacing w:after="26" w:line="259" w:lineRule="auto"/>
        <w:ind w:left="100" w:firstLine="0"/>
      </w:pPr>
      <w:r>
        <w:rPr>
          <w:color w:val="000000"/>
        </w:rPr>
        <w:t xml:space="preserve"> </w:t>
      </w:r>
      <w:r>
        <w:t xml:space="preserve"> </w:t>
      </w:r>
    </w:p>
    <w:p w:rsidR="00874EF7" w:rsidRDefault="009C108B">
      <w:pPr>
        <w:spacing w:after="242" w:line="286" w:lineRule="auto"/>
        <w:ind w:left="100" w:firstLine="0"/>
      </w:pPr>
      <w:r>
        <w:rPr>
          <w:color w:val="000000"/>
        </w:rPr>
        <w:t>Our strategy is also integral to wider school plans for education recovery, notably in its targeted support through the National Tutoring Programme for pupils whos</w:t>
      </w:r>
      <w:r>
        <w:rPr>
          <w:color w:val="000000"/>
        </w:rPr>
        <w:t xml:space="preserve">e education has been worst affected, including non-disadvantaged pupils.     </w:t>
      </w:r>
      <w:r>
        <w:t xml:space="preserve"> </w:t>
      </w:r>
    </w:p>
    <w:p w:rsidR="00874EF7" w:rsidRDefault="009C108B">
      <w:pPr>
        <w:ind w:left="120"/>
      </w:pPr>
      <w:r>
        <w:t>When making decisions about allocating our Pupil Premium Funding, we have made use of a range of research, such as the Education Endowment Foundation. Funding is allocated withi</w:t>
      </w:r>
      <w:r>
        <w:t>n the school budget by financial year. The budget enables us to plan our intervention and support programme year on year, based on the needs of the current cohort of children in receipt of Pupil Premium funding. Expenditure is reviewed, planned and impleme</w:t>
      </w:r>
      <w:r>
        <w:t>nted throughout the academic year.</w:t>
      </w:r>
      <w:r>
        <w:rPr>
          <w:sz w:val="24"/>
        </w:rPr>
        <w:t xml:space="preserve"> </w:t>
      </w:r>
      <w:r>
        <w:t xml:space="preserve"> </w:t>
      </w:r>
    </w:p>
    <w:p w:rsidR="00874EF7" w:rsidRDefault="009C108B">
      <w:pPr>
        <w:pStyle w:val="Heading2"/>
        <w:ind w:left="-5"/>
      </w:pPr>
      <w:r>
        <w:lastRenderedPageBreak/>
        <w:t xml:space="preserve">Challenges  </w:t>
      </w:r>
    </w:p>
    <w:p w:rsidR="00874EF7" w:rsidRDefault="009C108B">
      <w:pPr>
        <w:pBdr>
          <w:top w:val="none" w:sz="0" w:space="0" w:color="auto"/>
          <w:left w:val="none" w:sz="0" w:space="0" w:color="auto"/>
          <w:bottom w:val="none" w:sz="0" w:space="0" w:color="auto"/>
          <w:right w:val="none" w:sz="0" w:space="0" w:color="auto"/>
        </w:pBdr>
        <w:spacing w:after="7" w:line="255" w:lineRule="auto"/>
        <w:ind w:left="-5" w:hanging="10"/>
      </w:pPr>
      <w:r>
        <w:rPr>
          <w:color w:val="000000"/>
          <w:sz w:val="24"/>
        </w:rPr>
        <w:t>This details the key challenges to achievement that we have identified among our disadvantaged pupils.</w:t>
      </w:r>
      <w:r>
        <w:rPr>
          <w:sz w:val="24"/>
        </w:rPr>
        <w:t xml:space="preserve"> </w:t>
      </w:r>
      <w:r>
        <w:t xml:space="preserve"> </w:t>
      </w:r>
    </w:p>
    <w:tbl>
      <w:tblPr>
        <w:tblStyle w:val="TableGrid"/>
        <w:tblW w:w="9486" w:type="dxa"/>
        <w:tblInd w:w="28" w:type="dxa"/>
        <w:tblCellMar>
          <w:top w:w="52" w:type="dxa"/>
          <w:left w:w="108" w:type="dxa"/>
          <w:bottom w:w="0" w:type="dxa"/>
          <w:right w:w="95" w:type="dxa"/>
        </w:tblCellMar>
        <w:tblLook w:val="04A0" w:firstRow="1" w:lastRow="0" w:firstColumn="1" w:lastColumn="0" w:noHBand="0" w:noVBand="1"/>
      </w:tblPr>
      <w:tblGrid>
        <w:gridCol w:w="1475"/>
        <w:gridCol w:w="8011"/>
      </w:tblGrid>
      <w:tr w:rsidR="00874EF7">
        <w:trPr>
          <w:trHeight w:val="728"/>
        </w:trPr>
        <w:tc>
          <w:tcPr>
            <w:tcW w:w="1475"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56" w:firstLine="0"/>
            </w:pPr>
            <w:r>
              <w:rPr>
                <w:b/>
                <w:sz w:val="24"/>
              </w:rPr>
              <w:t xml:space="preserve">Challenge number </w:t>
            </w:r>
            <w:r>
              <w:t xml:space="preserve"> </w:t>
            </w:r>
          </w:p>
        </w:tc>
        <w:tc>
          <w:tcPr>
            <w:tcW w:w="8011"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b/>
                <w:sz w:val="24"/>
              </w:rPr>
              <w:t xml:space="preserve">Detail of challenge  </w:t>
            </w:r>
            <w:r>
              <w:t xml:space="preserve"> </w:t>
            </w:r>
          </w:p>
        </w:tc>
      </w:tr>
      <w:tr w:rsidR="00874EF7">
        <w:trPr>
          <w:trHeight w:val="1475"/>
        </w:trPr>
        <w:tc>
          <w:tcPr>
            <w:tcW w:w="1475"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6" w:firstLine="0"/>
            </w:pPr>
            <w:r>
              <w:t xml:space="preserve">1  </w:t>
            </w:r>
          </w:p>
        </w:tc>
        <w:tc>
          <w:tcPr>
            <w:tcW w:w="8011"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color w:val="000000"/>
              </w:rPr>
              <w:t>Assessments, observations, and discussions with pupils indicate underdeveloped oral language skills and vocabulary gaps among many disadvantaged pupils. These are evident from Reception through to Year 2 and in general, are more prevalent among our disadva</w:t>
            </w:r>
            <w:r>
              <w:rPr>
                <w:color w:val="000000"/>
              </w:rPr>
              <w:t xml:space="preserve">ntaged pupils than their peers. </w:t>
            </w:r>
            <w:r>
              <w:t xml:space="preserve">  </w:t>
            </w:r>
          </w:p>
        </w:tc>
      </w:tr>
      <w:tr w:rsidR="00874EF7">
        <w:trPr>
          <w:trHeight w:val="968"/>
        </w:trPr>
        <w:tc>
          <w:tcPr>
            <w:tcW w:w="1475"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6" w:firstLine="0"/>
            </w:pPr>
            <w:r>
              <w:t xml:space="preserve">2  </w:t>
            </w:r>
          </w:p>
        </w:tc>
        <w:tc>
          <w:tcPr>
            <w:tcW w:w="8011"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color w:val="000000"/>
              </w:rPr>
              <w:t xml:space="preserve">Assessments, observations, and discussions with pupils suggest </w:t>
            </w:r>
            <w:r>
              <w:t xml:space="preserve"> </w:t>
            </w:r>
            <w:r>
              <w:rPr>
                <w:color w:val="000000"/>
              </w:rPr>
              <w:t>disadvantaged pupils generally have greater difficulties with phonics than their peers. This negatively impacts their development as readers.</w:t>
            </w:r>
            <w:r>
              <w:t xml:space="preserve">  </w:t>
            </w:r>
          </w:p>
        </w:tc>
      </w:tr>
      <w:tr w:rsidR="00874EF7">
        <w:trPr>
          <w:trHeight w:val="1471"/>
        </w:trPr>
        <w:tc>
          <w:tcPr>
            <w:tcW w:w="1475"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6" w:firstLine="0"/>
            </w:pPr>
            <w:r>
              <w:t xml:space="preserve">3  </w:t>
            </w:r>
          </w:p>
        </w:tc>
        <w:tc>
          <w:tcPr>
            <w:tcW w:w="8011"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t>Baseline assessments demonstrate that our children enter school with low scores in Understanding the World.  Some of this is based on few wider experiences out of school, whilst much is also attributed to children having a lack of vocabulary (a catch 22 of</w:t>
            </w:r>
            <w:r>
              <w:t xml:space="preserve"> not having the experiences to stimulate and broaden their word bank).  </w:t>
            </w:r>
          </w:p>
        </w:tc>
      </w:tr>
      <w:tr w:rsidR="00874EF7">
        <w:trPr>
          <w:trHeight w:val="1219"/>
        </w:trPr>
        <w:tc>
          <w:tcPr>
            <w:tcW w:w="1475"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6" w:firstLine="0"/>
            </w:pPr>
            <w:r>
              <w:t xml:space="preserve">4  </w:t>
            </w:r>
          </w:p>
        </w:tc>
        <w:tc>
          <w:tcPr>
            <w:tcW w:w="8011"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right="18" w:firstLine="0"/>
            </w:pPr>
            <w:r>
              <w:t xml:space="preserve">Assessments, observations and discussions with children suggest that disadvantaged children have greater difficulties with mathematical development, in particular in relation to problem-solving and the subject specific vocabulary.   </w:t>
            </w:r>
          </w:p>
        </w:tc>
      </w:tr>
      <w:tr w:rsidR="00874EF7">
        <w:trPr>
          <w:trHeight w:val="1220"/>
        </w:trPr>
        <w:tc>
          <w:tcPr>
            <w:tcW w:w="1475"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6" w:firstLine="0"/>
            </w:pPr>
            <w:r>
              <w:t xml:space="preserve">5  </w:t>
            </w:r>
          </w:p>
        </w:tc>
        <w:tc>
          <w:tcPr>
            <w:tcW w:w="8011"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Children from disadvantaged backgrounds tend to struggle with reading comprehension skills.  This can be at lower levels, but also for those children who are reading fluently and could aim for higher levels of attainment, but do not have a rich diet of rea</w:t>
            </w:r>
            <w:r>
              <w:t xml:space="preserve">ding to draw on to aid their comprehension skills.   </w:t>
            </w:r>
          </w:p>
        </w:tc>
      </w:tr>
    </w:tbl>
    <w:p w:rsidR="00874EF7" w:rsidRDefault="009C108B">
      <w:pPr>
        <w:pStyle w:val="Heading1"/>
        <w:spacing w:after="64"/>
        <w:ind w:left="-5"/>
      </w:pPr>
      <w:r>
        <w:t xml:space="preserve">Intended outcomes   </w:t>
      </w:r>
    </w:p>
    <w:p w:rsidR="00874EF7" w:rsidRDefault="009C108B">
      <w:pPr>
        <w:pBdr>
          <w:top w:val="none" w:sz="0" w:space="0" w:color="auto"/>
          <w:left w:val="none" w:sz="0" w:space="0" w:color="auto"/>
          <w:bottom w:val="none" w:sz="0" w:space="0" w:color="auto"/>
          <w:right w:val="none" w:sz="0" w:space="0" w:color="auto"/>
        </w:pBdr>
        <w:spacing w:after="7" w:line="255" w:lineRule="auto"/>
        <w:ind w:left="-5" w:hanging="10"/>
      </w:pPr>
      <w:r>
        <w:rPr>
          <w:color w:val="000000"/>
          <w:sz w:val="24"/>
        </w:rPr>
        <w:t xml:space="preserve">This explains the outcomes we are aiming for </w:t>
      </w:r>
      <w:r>
        <w:rPr>
          <w:b/>
          <w:color w:val="000000"/>
          <w:sz w:val="24"/>
        </w:rPr>
        <w:t>by the end of our current strategy plan</w:t>
      </w:r>
      <w:r>
        <w:rPr>
          <w:color w:val="000000"/>
          <w:sz w:val="24"/>
        </w:rPr>
        <w:t>, and how we will measure whether they have been achieved.</w:t>
      </w:r>
      <w:r>
        <w:rPr>
          <w:sz w:val="24"/>
        </w:rPr>
        <w:t xml:space="preserve"> </w:t>
      </w:r>
      <w:r>
        <w:t xml:space="preserve"> </w:t>
      </w:r>
    </w:p>
    <w:tbl>
      <w:tblPr>
        <w:tblStyle w:val="TableGrid"/>
        <w:tblW w:w="9486" w:type="dxa"/>
        <w:tblInd w:w="28" w:type="dxa"/>
        <w:tblCellMar>
          <w:top w:w="52" w:type="dxa"/>
          <w:left w:w="164" w:type="dxa"/>
          <w:bottom w:w="0" w:type="dxa"/>
          <w:right w:w="54" w:type="dxa"/>
        </w:tblCellMar>
        <w:tblLook w:val="04A0" w:firstRow="1" w:lastRow="0" w:firstColumn="1" w:lastColumn="0" w:noHBand="0" w:noVBand="1"/>
      </w:tblPr>
      <w:tblGrid>
        <w:gridCol w:w="4817"/>
        <w:gridCol w:w="4669"/>
      </w:tblGrid>
      <w:tr w:rsidR="00874EF7">
        <w:trPr>
          <w:trHeight w:val="452"/>
        </w:trPr>
        <w:tc>
          <w:tcPr>
            <w:tcW w:w="4817"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b/>
                <w:sz w:val="24"/>
              </w:rPr>
              <w:t xml:space="preserve">Intended outcome </w:t>
            </w:r>
            <w:r>
              <w:t xml:space="preserve"> </w:t>
            </w:r>
          </w:p>
        </w:tc>
        <w:tc>
          <w:tcPr>
            <w:tcW w:w="4669"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1" w:firstLine="0"/>
            </w:pPr>
            <w:r>
              <w:rPr>
                <w:b/>
                <w:sz w:val="24"/>
              </w:rPr>
              <w:t xml:space="preserve">Success criteria </w:t>
            </w:r>
            <w:r>
              <w:t xml:space="preserve"> </w:t>
            </w:r>
          </w:p>
        </w:tc>
      </w:tr>
      <w:tr w:rsidR="00874EF7">
        <w:trPr>
          <w:trHeight w:val="1991"/>
        </w:trPr>
        <w:tc>
          <w:tcPr>
            <w:tcW w:w="48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jc w:val="both"/>
            </w:pPr>
            <w:r>
              <w:rPr>
                <w:color w:val="000000"/>
              </w:rPr>
              <w:t>Improved oral language skills and vocabulary among disadvantaged pupils</w:t>
            </w:r>
            <w:r>
              <w:t xml:space="preserve">  </w:t>
            </w:r>
          </w:p>
        </w:tc>
        <w:tc>
          <w:tcPr>
            <w:tcW w:w="4669"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1" w:firstLine="0"/>
            </w:pPr>
            <w:r>
              <w:rPr>
                <w:color w:val="000000"/>
              </w:rPr>
              <w:t>Assessments and observations indicate significantly improved oral language among disadvantaged pupils. This is reflected in EYFS CLL attainment and is evident whe</w:t>
            </w:r>
            <w:r>
              <w:rPr>
                <w:color w:val="000000"/>
              </w:rPr>
              <w:t xml:space="preserve">n triangulated with other sources of evidence, including engagement in lessons, book scrutiny and ongoing formative assessment. </w:t>
            </w:r>
            <w:r>
              <w:t xml:space="preserve"> </w:t>
            </w:r>
          </w:p>
        </w:tc>
      </w:tr>
      <w:tr w:rsidR="00874EF7">
        <w:trPr>
          <w:trHeight w:val="1279"/>
        </w:trPr>
        <w:tc>
          <w:tcPr>
            <w:tcW w:w="48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t xml:space="preserve">Improved Phonics Threshold Scores for disadvantaged pupils in Year One (or Two if not achieved in Year One).    </w:t>
            </w:r>
          </w:p>
        </w:tc>
        <w:tc>
          <w:tcPr>
            <w:tcW w:w="4669"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2" w:line="256" w:lineRule="auto"/>
              <w:ind w:left="1" w:firstLine="0"/>
            </w:pPr>
            <w:r>
              <w:rPr>
                <w:color w:val="000000"/>
              </w:rPr>
              <w:t xml:space="preserve">Year One phonics threshold pass rate for children eligible for Pupil Premium </w:t>
            </w:r>
          </w:p>
          <w:p w:rsidR="00874EF7" w:rsidRDefault="009C108B">
            <w:pPr>
              <w:pBdr>
                <w:top w:val="none" w:sz="0" w:space="0" w:color="auto"/>
                <w:left w:val="none" w:sz="0" w:space="0" w:color="auto"/>
                <w:bottom w:val="none" w:sz="0" w:space="0" w:color="auto"/>
                <w:right w:val="none" w:sz="0" w:space="0" w:color="auto"/>
              </w:pBdr>
              <w:spacing w:after="0" w:line="259" w:lineRule="auto"/>
              <w:ind w:left="1" w:right="109" w:firstLine="0"/>
            </w:pPr>
            <w:r>
              <w:rPr>
                <w:color w:val="000000"/>
              </w:rPr>
              <w:t xml:space="preserve">matches those of their peers in 2024/2025 ** where no complex SEND </w:t>
            </w:r>
            <w:r>
              <w:t xml:space="preserve">  </w:t>
            </w:r>
          </w:p>
        </w:tc>
      </w:tr>
      <w:tr w:rsidR="00874EF7">
        <w:trPr>
          <w:trHeight w:val="2292"/>
        </w:trPr>
        <w:tc>
          <w:tcPr>
            <w:tcW w:w="48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lastRenderedPageBreak/>
              <w:t xml:space="preserve">UAll pupils are exposed to a breadth of experiences that enable them to contextualise their learning and enhance their vocabulary.  </w:t>
            </w:r>
          </w:p>
        </w:tc>
        <w:tc>
          <w:tcPr>
            <w:tcW w:w="4669"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59" w:line="240" w:lineRule="auto"/>
              <w:ind w:left="0" w:firstLine="0"/>
            </w:pPr>
            <w:r>
              <w:rPr>
                <w:color w:val="000000"/>
              </w:rPr>
              <w:t xml:space="preserve">Understanding the World scores for disadvantaged children in the EYFS Profile are raised to 70% in 2024/25.  </w:t>
            </w: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color w:val="000000"/>
              </w:rPr>
              <w:t>Observations and Assessments demonstrate children have increased knowledge of the world, which they can bring to their discussions, writing and reading.</w:t>
            </w:r>
            <w:r>
              <w:rPr>
                <w:color w:val="FF0000"/>
              </w:rPr>
              <w:t xml:space="preserve"> </w:t>
            </w:r>
            <w:r>
              <w:t xml:space="preserve"> </w:t>
            </w:r>
          </w:p>
        </w:tc>
      </w:tr>
      <w:tr w:rsidR="00874EF7">
        <w:trPr>
          <w:trHeight w:val="2590"/>
        </w:trPr>
        <w:tc>
          <w:tcPr>
            <w:tcW w:w="48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color w:val="000000"/>
              </w:rPr>
              <w:t>Improved maths attainment for disadvantaged pupils at the end of EYFS and KS1.</w:t>
            </w:r>
            <w:r>
              <w:t xml:space="preserve">  </w:t>
            </w:r>
          </w:p>
        </w:tc>
        <w:tc>
          <w:tcPr>
            <w:tcW w:w="4669"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116" w:line="239" w:lineRule="auto"/>
              <w:ind w:left="0" w:right="99" w:firstLine="0"/>
            </w:pPr>
            <w:r>
              <w:rPr>
                <w:color w:val="000000"/>
              </w:rPr>
              <w:t xml:space="preserve">EYFS maths outcomes in 2024/25 show that more than 70% of disadvantaged pupils met the expected standard. </w:t>
            </w:r>
            <w:r>
              <w:t xml:space="preserve"> </w:t>
            </w:r>
          </w:p>
          <w:p w:rsidR="00874EF7" w:rsidRDefault="009C108B">
            <w:pPr>
              <w:pBdr>
                <w:top w:val="none" w:sz="0" w:space="0" w:color="auto"/>
                <w:left w:val="none" w:sz="0" w:space="0" w:color="auto"/>
                <w:bottom w:val="none" w:sz="0" w:space="0" w:color="auto"/>
                <w:right w:val="none" w:sz="0" w:space="0" w:color="auto"/>
              </w:pBdr>
              <w:spacing w:after="98" w:line="259" w:lineRule="auto"/>
              <w:ind w:left="0" w:firstLine="0"/>
            </w:pPr>
            <w:r>
              <w:rPr>
                <w:color w:val="000000"/>
              </w:rPr>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after="124" w:line="237" w:lineRule="auto"/>
              <w:ind w:left="0" w:firstLine="0"/>
            </w:pPr>
            <w:r>
              <w:rPr>
                <w:color w:val="000000"/>
              </w:rPr>
              <w:t xml:space="preserve">KS1 maths outcomes in 2024/25 show that more than 70% of disadvantaged pupils met the expected standard. </w:t>
            </w: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874EF7">
        <w:trPr>
          <w:trHeight w:val="1037"/>
        </w:trPr>
        <w:tc>
          <w:tcPr>
            <w:tcW w:w="481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color w:val="000000"/>
                <w:sz w:val="24"/>
              </w:rPr>
              <w:t>Improved reading attainment among disadvantaged pupils.</w:t>
            </w:r>
            <w:r>
              <w:t xml:space="preserve">  </w:t>
            </w:r>
          </w:p>
        </w:tc>
        <w:tc>
          <w:tcPr>
            <w:tcW w:w="4669"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color w:val="000000"/>
                <w:sz w:val="24"/>
              </w:rPr>
              <w:t>KS1 reading outcomes in 2024/25 show that more than 70% of disadvantaged pupils met the expected standard.</w:t>
            </w:r>
            <w:r>
              <w:t xml:space="preserve">  </w:t>
            </w:r>
          </w:p>
        </w:tc>
      </w:tr>
    </w:tbl>
    <w:p w:rsidR="00874EF7" w:rsidRDefault="009C108B">
      <w:pPr>
        <w:pBdr>
          <w:top w:val="none" w:sz="0" w:space="0" w:color="auto"/>
          <w:left w:val="none" w:sz="0" w:space="0" w:color="auto"/>
          <w:bottom w:val="none" w:sz="0" w:space="0" w:color="auto"/>
          <w:right w:val="none" w:sz="0" w:space="0" w:color="auto"/>
        </w:pBdr>
        <w:spacing w:after="27" w:line="259" w:lineRule="auto"/>
        <w:ind w:left="14" w:firstLine="0"/>
      </w:pPr>
      <w:r>
        <w:rPr>
          <w:b/>
          <w:color w:val="104F75"/>
          <w:sz w:val="32"/>
        </w:rPr>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14" w:firstLine="0"/>
      </w:pPr>
      <w:r>
        <w:rPr>
          <w:sz w:val="24"/>
        </w:rPr>
        <w:t xml:space="preserve">  </w:t>
      </w:r>
      <w:r>
        <w:rPr>
          <w:sz w:val="24"/>
        </w:rPr>
        <w:tab/>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after="47" w:line="259" w:lineRule="auto"/>
        <w:ind w:left="14" w:firstLine="0"/>
      </w:pPr>
      <w:r>
        <w:rPr>
          <w:sz w:val="24"/>
        </w:rPr>
        <w:t xml:space="preserve"> </w:t>
      </w:r>
      <w:r>
        <w:t xml:space="preserve"> </w:t>
      </w:r>
    </w:p>
    <w:p w:rsidR="00874EF7" w:rsidRDefault="009C108B">
      <w:pPr>
        <w:pStyle w:val="Heading2"/>
        <w:spacing w:after="0"/>
        <w:ind w:left="14" w:firstLine="0"/>
      </w:pPr>
      <w:r>
        <w:rPr>
          <w:color w:val="0070C0"/>
        </w:rPr>
        <w:t xml:space="preserve">Activity in this academic year </w:t>
      </w: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14" w:firstLine="0"/>
      </w:pPr>
      <w:r>
        <w:rPr>
          <w:b/>
          <w:color w:val="0070C0"/>
          <w:sz w:val="32"/>
        </w:rPr>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after="583" w:line="259" w:lineRule="auto"/>
        <w:ind w:left="-5" w:hanging="10"/>
      </w:pPr>
      <w:r>
        <w:rPr>
          <w:sz w:val="24"/>
        </w:rPr>
        <w:t xml:space="preserve">This details how we intend to spend our pupil premium (and recovery premium funding) </w:t>
      </w:r>
      <w:r>
        <w:rPr>
          <w:b/>
          <w:sz w:val="24"/>
        </w:rPr>
        <w:t>this academic year</w:t>
      </w:r>
      <w:r>
        <w:rPr>
          <w:sz w:val="24"/>
        </w:rPr>
        <w:t xml:space="preserve"> to address the challenges listed above. </w:t>
      </w:r>
      <w:r>
        <w:t xml:space="preserve"> </w:t>
      </w:r>
    </w:p>
    <w:p w:rsidR="00874EF7" w:rsidRDefault="009C108B">
      <w:pPr>
        <w:pStyle w:val="Heading3"/>
        <w:ind w:left="-5"/>
      </w:pPr>
      <w:r>
        <w:t xml:space="preserve">Teaching (for example, CPD, recruitment and retention)  </w:t>
      </w:r>
    </w:p>
    <w:p w:rsidR="00874EF7" w:rsidRDefault="009C108B">
      <w:pPr>
        <w:pBdr>
          <w:top w:val="none" w:sz="0" w:space="0" w:color="auto"/>
          <w:left w:val="none" w:sz="0" w:space="0" w:color="auto"/>
          <w:bottom w:val="none" w:sz="0" w:space="0" w:color="auto"/>
          <w:right w:val="none" w:sz="0" w:space="0" w:color="auto"/>
        </w:pBdr>
        <w:spacing w:after="0" w:line="259" w:lineRule="auto"/>
        <w:ind w:left="-5" w:hanging="10"/>
      </w:pPr>
      <w:r>
        <w:rPr>
          <w:sz w:val="24"/>
        </w:rPr>
        <w:t xml:space="preserve">Budgeted cost: £10,000 </w:t>
      </w:r>
      <w:r>
        <w:t xml:space="preserve"> </w:t>
      </w:r>
    </w:p>
    <w:tbl>
      <w:tblPr>
        <w:tblStyle w:val="TableGrid"/>
        <w:tblW w:w="10447" w:type="dxa"/>
        <w:tblInd w:w="28" w:type="dxa"/>
        <w:tblCellMar>
          <w:top w:w="52" w:type="dxa"/>
          <w:left w:w="108" w:type="dxa"/>
          <w:bottom w:w="0" w:type="dxa"/>
          <w:right w:w="0" w:type="dxa"/>
        </w:tblCellMar>
        <w:tblLook w:val="04A0" w:firstRow="1" w:lastRow="0" w:firstColumn="1" w:lastColumn="0" w:noHBand="0" w:noVBand="1"/>
      </w:tblPr>
      <w:tblGrid>
        <w:gridCol w:w="1319"/>
        <w:gridCol w:w="8141"/>
        <w:gridCol w:w="1309"/>
      </w:tblGrid>
      <w:tr w:rsidR="00874EF7">
        <w:trPr>
          <w:trHeight w:val="1007"/>
        </w:trPr>
        <w:tc>
          <w:tcPr>
            <w:tcW w:w="1492"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b/>
                <w:sz w:val="24"/>
              </w:rPr>
              <w:t xml:space="preserve">Activity </w:t>
            </w:r>
            <w:r>
              <w:t xml:space="preserve"> </w:t>
            </w:r>
          </w:p>
        </w:tc>
        <w:tc>
          <w:tcPr>
            <w:tcW w:w="7474"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1" w:firstLine="0"/>
            </w:pPr>
            <w:r>
              <w:rPr>
                <w:b/>
                <w:sz w:val="24"/>
              </w:rPr>
              <w:t xml:space="preserve">Evidence that supports this approach </w:t>
            </w:r>
            <w: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b/>
                <w:sz w:val="24"/>
              </w:rPr>
              <w:t xml:space="preserve">Challenge number(s) addressed </w:t>
            </w:r>
            <w:r>
              <w:t xml:space="preserve"> </w:t>
            </w:r>
          </w:p>
        </w:tc>
      </w:tr>
      <w:tr w:rsidR="00874EF7">
        <w:trPr>
          <w:trHeight w:val="3628"/>
        </w:trPr>
        <w:tc>
          <w:tcPr>
            <w:tcW w:w="1492"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Purchase of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a </w:t>
            </w: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hyperlink r:id="rId7">
              <w:r>
                <w:rPr>
                  <w:b/>
                  <w:color w:val="0070C0"/>
                  <w:u w:val="single" w:color="0070C0"/>
                </w:rPr>
                <w:t>DfE</w:t>
              </w:r>
            </w:hyperlink>
            <w:hyperlink r:id="rId8">
              <w:r>
                <w:rPr>
                  <w:b/>
                  <w:color w:val="0070C0"/>
                </w:rPr>
                <w:t xml:space="preserve"> </w:t>
              </w:r>
            </w:hyperlink>
            <w:hyperlink r:id="rId9">
              <w:r>
                <w:rPr>
                  <w:b/>
                  <w:color w:val="0070C0"/>
                  <w:u w:val="single" w:color="0070C0"/>
                </w:rPr>
                <w:t>validate</w:t>
              </w:r>
            </w:hyperlink>
            <w:hyperlink r:id="rId10">
              <w:r>
                <w:rPr>
                  <w:b/>
                  <w:color w:val="0070C0"/>
                  <w:u w:val="single" w:color="0070C0"/>
                </w:rPr>
                <w:t>d</w:t>
              </w:r>
            </w:hyperlink>
            <w:hyperlink r:id="rId11">
              <w:r>
                <w:rPr>
                  <w:b/>
                  <w:color w:val="0070C0"/>
                </w:rPr>
                <w:t xml:space="preserve"> </w:t>
              </w:r>
            </w:hyperlink>
            <w:hyperlink r:id="rId12">
              <w:r>
                <w:t xml:space="preserve"> </w:t>
              </w:r>
            </w:hyperlink>
            <w:hyperlink r:id="rId13">
              <w:r>
                <w:rPr>
                  <w:b/>
                  <w:color w:val="0070C0"/>
                  <w:u w:val="single" w:color="0070C0"/>
                </w:rPr>
                <w:t>Systemati</w:t>
              </w:r>
            </w:hyperlink>
            <w:hyperlink r:id="rId14">
              <w:r>
                <w:rPr>
                  <w:b/>
                  <w:color w:val="0070C0"/>
                  <w:u w:val="single" w:color="0070C0"/>
                </w:rPr>
                <w:t>c</w:t>
              </w:r>
            </w:hyperlink>
            <w:hyperlink r:id="rId15">
              <w:r>
                <w:rPr>
                  <w:b/>
                  <w:color w:val="0070C0"/>
                </w:rPr>
                <w:t xml:space="preserve"> </w:t>
              </w:r>
            </w:hyperlink>
            <w:hyperlink r:id="rId16">
              <w:r>
                <w:t xml:space="preserve"> </w:t>
              </w:r>
            </w:hyperlink>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hyperlink r:id="rId17">
              <w:r>
                <w:rPr>
                  <w:b/>
                  <w:color w:val="0070C0"/>
                  <w:u w:val="single" w:color="0070C0"/>
                </w:rPr>
                <w:t>Syntheti</w:t>
              </w:r>
            </w:hyperlink>
            <w:hyperlink r:id="rId18">
              <w:r>
                <w:rPr>
                  <w:b/>
                  <w:color w:val="0070C0"/>
                  <w:u w:val="single" w:color="0070C0"/>
                </w:rPr>
                <w:t>c</w:t>
              </w:r>
            </w:hyperlink>
            <w:hyperlink r:id="rId19">
              <w:r>
                <w:rPr>
                  <w:b/>
                  <w:color w:val="0070C0"/>
                </w:rPr>
                <w:t xml:space="preserve"> </w:t>
              </w:r>
            </w:hyperlink>
            <w:hyperlink r:id="rId20">
              <w:r>
                <w:rPr>
                  <w:b/>
                  <w:color w:val="0070C0"/>
                  <w:u w:val="single" w:color="0070C0"/>
                </w:rPr>
                <w:t>Phonic</w:t>
              </w:r>
            </w:hyperlink>
            <w:hyperlink r:id="rId21">
              <w:r>
                <w:rPr>
                  <w:b/>
                  <w:color w:val="0070C0"/>
                  <w:u w:val="single" w:color="0070C0"/>
                </w:rPr>
                <w:t>s</w:t>
              </w:r>
            </w:hyperlink>
            <w:hyperlink r:id="rId22">
              <w:r>
                <w:rPr>
                  <w:b/>
                  <w:color w:val="0070C0"/>
                </w:rPr>
                <w:t xml:space="preserve"> </w:t>
              </w:r>
            </w:hyperlink>
            <w:hyperlink r:id="rId23">
              <w:r>
                <w:rPr>
                  <w:b/>
                  <w:color w:val="0070C0"/>
                  <w:u w:val="single" w:color="0070C0"/>
                </w:rPr>
                <w:t>programm</w:t>
              </w:r>
            </w:hyperlink>
            <w:hyperlink r:id="rId24">
              <w:r>
                <w:rPr>
                  <w:b/>
                  <w:color w:val="0070C0"/>
                  <w:u w:val="single" w:color="0070C0"/>
                </w:rPr>
                <w:t>e</w:t>
              </w:r>
            </w:hyperlink>
            <w:hyperlink r:id="rId25">
              <w:r>
                <w:rPr>
                  <w:color w:val="000000"/>
                </w:rPr>
                <w:t xml:space="preserve"> </w:t>
              </w:r>
            </w:hyperlink>
            <w:r>
              <w:rPr>
                <w:color w:val="000000"/>
              </w:rPr>
              <w:t xml:space="preserve">to secure stronger phonics teaching for all pupils, </w:t>
            </w:r>
          </w:p>
        </w:tc>
        <w:tc>
          <w:tcPr>
            <w:tcW w:w="7474"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56" w:line="239" w:lineRule="auto"/>
              <w:ind w:left="1" w:right="93" w:firstLine="0"/>
            </w:pPr>
            <w:r>
              <w:rPr>
                <w:color w:val="000000"/>
              </w:rPr>
              <w:t>Phonics approaches have a strong evidence base that indicates a positive impact on the accuracy of word reading (though not necessarily comprehension),</w:t>
            </w:r>
            <w:r>
              <w:rPr>
                <w:color w:val="000000"/>
              </w:rPr>
              <w:t xml:space="preserve"> particularly for disadvantaged pupils:  </w:t>
            </w: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1" w:firstLine="0"/>
            </w:pPr>
            <w:hyperlink r:id="rId26">
              <w:r>
                <w:rPr>
                  <w:color w:val="0070C0"/>
                  <w:u w:val="single" w:color="0070C0"/>
                </w:rPr>
                <w:t>Phonics | Toolkit Strand | Education Endowmen</w:t>
              </w:r>
            </w:hyperlink>
            <w:hyperlink r:id="rId27">
              <w:r>
                <w:rPr>
                  <w:color w:val="0070C0"/>
                  <w:u w:val="single" w:color="0070C0"/>
                </w:rPr>
                <w:t>t</w:t>
              </w:r>
            </w:hyperlink>
            <w:hyperlink r:id="rId28">
              <w:r>
                <w:rPr>
                  <w:color w:val="0070C0"/>
                </w:rPr>
                <w:t xml:space="preserve"> </w:t>
              </w:r>
            </w:hyperlink>
            <w:hyperlink r:id="rId29">
              <w:r>
                <w:rPr>
                  <w:color w:val="0070C0"/>
                  <w:u w:val="single" w:color="0070C0"/>
                </w:rPr>
                <w:t>Foundation | EE</w:t>
              </w:r>
            </w:hyperlink>
            <w:hyperlink r:id="rId30">
              <w:r>
                <w:rPr>
                  <w:color w:val="0070C0"/>
                  <w:u w:val="single" w:color="0070C0"/>
                </w:rPr>
                <w:t>F</w:t>
              </w:r>
            </w:hyperlink>
            <w:hyperlink r:id="rId31">
              <w:r>
                <w:t xml:space="preserve">  </w:t>
              </w:r>
            </w:hyperlink>
          </w:p>
        </w:tc>
        <w:tc>
          <w:tcPr>
            <w:tcW w:w="1481"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t xml:space="preserve">2  </w:t>
            </w:r>
          </w:p>
        </w:tc>
      </w:tr>
      <w:tr w:rsidR="00874EF7">
        <w:trPr>
          <w:trHeight w:val="3500"/>
        </w:trPr>
        <w:tc>
          <w:tcPr>
            <w:tcW w:w="1492"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8" w:lineRule="auto"/>
              <w:ind w:left="58" w:right="1" w:firstLine="0"/>
            </w:pPr>
            <w:r>
              <w:rPr>
                <w:color w:val="000000"/>
              </w:rPr>
              <w:lastRenderedPageBreak/>
              <w:t xml:space="preserve">including the purchase of reading books and </w:t>
            </w:r>
          </w:p>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color w:val="000000"/>
              </w:rPr>
              <w:t>CPD.</w:t>
            </w:r>
            <w:r>
              <w:t xml:space="preserve">  </w:t>
            </w:r>
          </w:p>
        </w:tc>
        <w:tc>
          <w:tcPr>
            <w:tcW w:w="7474" w:type="dxa"/>
            <w:tcBorders>
              <w:top w:val="single" w:sz="4" w:space="0" w:color="000000"/>
              <w:left w:val="single" w:sz="4" w:space="0" w:color="000000"/>
              <w:bottom w:val="single" w:sz="4" w:space="0" w:color="000000"/>
              <w:right w:val="single" w:sz="4" w:space="0" w:color="000000"/>
            </w:tcBorders>
          </w:tcPr>
          <w:p w:rsidR="00874EF7" w:rsidRDefault="00874EF7">
            <w:pPr>
              <w:spacing w:after="160" w:line="259" w:lineRule="auto"/>
              <w:ind w:left="0" w:firstLine="0"/>
            </w:pPr>
          </w:p>
        </w:tc>
        <w:tc>
          <w:tcPr>
            <w:tcW w:w="1481" w:type="dxa"/>
            <w:tcBorders>
              <w:top w:val="single" w:sz="4" w:space="0" w:color="000000"/>
              <w:left w:val="single" w:sz="4" w:space="0" w:color="000000"/>
              <w:bottom w:val="single" w:sz="4" w:space="0" w:color="000000"/>
              <w:right w:val="single" w:sz="4" w:space="0" w:color="000000"/>
            </w:tcBorders>
          </w:tcPr>
          <w:p w:rsidR="00874EF7" w:rsidRDefault="00874EF7">
            <w:pPr>
              <w:spacing w:after="160" w:line="259" w:lineRule="auto"/>
              <w:ind w:left="0" w:firstLine="0"/>
            </w:pPr>
          </w:p>
        </w:tc>
      </w:tr>
      <w:tr w:rsidR="00874EF7">
        <w:trPr>
          <w:trHeight w:val="4945"/>
        </w:trPr>
        <w:tc>
          <w:tcPr>
            <w:tcW w:w="1492"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37" w:lineRule="auto"/>
              <w:ind w:left="0" w:firstLine="0"/>
            </w:pPr>
            <w:r>
              <w:t xml:space="preserve">Train the whole staff team in </w:t>
            </w:r>
          </w:p>
          <w:p w:rsidR="00874EF7" w:rsidRDefault="009C108B">
            <w:pPr>
              <w:pBdr>
                <w:top w:val="none" w:sz="0" w:space="0" w:color="auto"/>
                <w:left w:val="none" w:sz="0" w:space="0" w:color="auto"/>
                <w:bottom w:val="none" w:sz="0" w:space="0" w:color="auto"/>
                <w:right w:val="none" w:sz="0" w:space="0" w:color="auto"/>
              </w:pBdr>
              <w:spacing w:after="24" w:line="238" w:lineRule="auto"/>
              <w:ind w:left="0" w:firstLine="0"/>
            </w:pPr>
            <w:r>
              <w:rPr>
                <w:b/>
              </w:rPr>
              <w:t xml:space="preserve">White Rose Maths and purchase </w:t>
            </w:r>
            <w:r>
              <w:t xml:space="preserve"> </w:t>
            </w:r>
            <w:r>
              <w:rPr>
                <w:b/>
              </w:rPr>
              <w:t>workbooks</w:t>
            </w:r>
            <w:r>
              <w:t xml:space="preserve"> </w:t>
            </w:r>
          </w:p>
          <w:p w:rsidR="00874EF7" w:rsidRDefault="009C108B">
            <w:pPr>
              <w:pBdr>
                <w:top w:val="none" w:sz="0" w:space="0" w:color="auto"/>
                <w:left w:val="none" w:sz="0" w:space="0" w:color="auto"/>
                <w:bottom w:val="none" w:sz="0" w:space="0" w:color="auto"/>
                <w:right w:val="none" w:sz="0" w:space="0" w:color="auto"/>
              </w:pBdr>
              <w:spacing w:after="0" w:line="240" w:lineRule="auto"/>
              <w:ind w:left="0" w:right="58" w:firstLine="0"/>
            </w:pPr>
            <w:r>
              <w:t xml:space="preserve">for  </w:t>
            </w:r>
            <w:r>
              <w:t xml:space="preserve">children, in order to secure stronger and more consistent maths teaching from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t xml:space="preserve">EYFS to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t xml:space="preserve">Year 2.   </w:t>
            </w:r>
          </w:p>
        </w:tc>
        <w:tc>
          <w:tcPr>
            <w:tcW w:w="7474"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60" w:line="238" w:lineRule="auto"/>
              <w:ind w:left="58" w:firstLine="0"/>
            </w:pPr>
            <w:r>
              <w:t xml:space="preserve">White Rose Maths is based on the mastery learning approach. This sees </w:t>
            </w:r>
            <w:r>
              <w:rPr>
                <w:color w:val="263238"/>
              </w:rPr>
              <w:t>Subject matter broken into blocks or units with predetermined objectives and specified</w:t>
            </w:r>
            <w:r>
              <w:rPr>
                <w:color w:val="263238"/>
              </w:rPr>
              <w:t xml:space="preserve"> outcomes. Learners must demonstrate mastery on unit tests, typically 80%, before moving on to new material. Any pupils who do not achieve mastery are provided with extra support through a range of teaching strategies. </w:t>
            </w:r>
            <w:r>
              <w:t xml:space="preserve"> </w:t>
            </w:r>
          </w:p>
          <w:p w:rsidR="00874EF7" w:rsidRDefault="009C108B">
            <w:pPr>
              <w:pBdr>
                <w:top w:val="none" w:sz="0" w:space="0" w:color="auto"/>
                <w:left w:val="none" w:sz="0" w:space="0" w:color="auto"/>
                <w:bottom w:val="none" w:sz="0" w:space="0" w:color="auto"/>
                <w:right w:val="none" w:sz="0" w:space="0" w:color="auto"/>
              </w:pBdr>
              <w:spacing w:after="0" w:line="313" w:lineRule="auto"/>
              <w:ind w:left="58" w:firstLine="0"/>
            </w:pPr>
            <w:r>
              <w:rPr>
                <w:color w:val="263238"/>
              </w:rPr>
              <w:t xml:space="preserve">There is evidence that this teaching approach has a high impact on children’s attainment.  </w:t>
            </w: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 xml:space="preserve">ttps://educationendowmentfoundation.org.uk/educationevidence/teachinglearning-toolkit/mastery-learning  </w:t>
            </w:r>
          </w:p>
        </w:tc>
        <w:tc>
          <w:tcPr>
            <w:tcW w:w="1481"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 xml:space="preserve">4  </w:t>
            </w:r>
          </w:p>
        </w:tc>
      </w:tr>
    </w:tbl>
    <w:p w:rsidR="00874EF7" w:rsidRDefault="009C108B">
      <w:pPr>
        <w:pBdr>
          <w:top w:val="none" w:sz="0" w:space="0" w:color="auto"/>
          <w:left w:val="none" w:sz="0" w:space="0" w:color="auto"/>
          <w:bottom w:val="none" w:sz="0" w:space="0" w:color="auto"/>
          <w:right w:val="none" w:sz="0" w:space="0" w:color="auto"/>
        </w:pBdr>
        <w:spacing w:after="77" w:line="259" w:lineRule="auto"/>
        <w:ind w:left="14" w:firstLine="0"/>
      </w:pPr>
      <w:r>
        <w:rPr>
          <w:sz w:val="24"/>
        </w:rPr>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after="79" w:line="259" w:lineRule="auto"/>
        <w:ind w:left="14" w:firstLine="0"/>
      </w:pPr>
      <w:r>
        <w:rPr>
          <w:sz w:val="24"/>
        </w:rPr>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after="77" w:line="259" w:lineRule="auto"/>
        <w:ind w:left="14" w:firstLine="0"/>
      </w:pPr>
      <w:r>
        <w:rPr>
          <w:sz w:val="24"/>
        </w:rPr>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after="79" w:line="259" w:lineRule="auto"/>
        <w:ind w:left="14" w:firstLine="0"/>
      </w:pPr>
      <w:r>
        <w:rPr>
          <w:sz w:val="24"/>
        </w:rPr>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after="78" w:line="259" w:lineRule="auto"/>
        <w:ind w:left="14" w:firstLine="0"/>
      </w:pPr>
      <w:r>
        <w:rPr>
          <w:sz w:val="24"/>
        </w:rPr>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after="131" w:line="259" w:lineRule="auto"/>
        <w:ind w:left="14" w:firstLine="0"/>
      </w:pPr>
      <w:r>
        <w:rPr>
          <w:sz w:val="24"/>
        </w:rPr>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line="259" w:lineRule="auto"/>
        <w:ind w:left="14" w:firstLine="0"/>
      </w:pPr>
      <w:r>
        <w:rPr>
          <w:b/>
          <w:color w:val="104F75"/>
          <w:sz w:val="28"/>
        </w:rPr>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14" w:firstLine="0"/>
      </w:pPr>
      <w:r>
        <w:rPr>
          <w:b/>
          <w:color w:val="104F75"/>
          <w:sz w:val="28"/>
        </w:rPr>
        <w:t xml:space="preserve"> </w:t>
      </w:r>
      <w:r>
        <w:t xml:space="preserve"> </w:t>
      </w:r>
    </w:p>
    <w:p w:rsidR="00874EF7" w:rsidRDefault="009C108B">
      <w:pPr>
        <w:pStyle w:val="Heading3"/>
        <w:spacing w:after="202"/>
        <w:ind w:left="-5"/>
      </w:pPr>
      <w:r>
        <w:t xml:space="preserve">Targeted academic support (for example, tutoring, one-to-one support structured interventions)   </w:t>
      </w:r>
    </w:p>
    <w:p w:rsidR="00874EF7" w:rsidRDefault="009C108B">
      <w:pPr>
        <w:pBdr>
          <w:top w:val="none" w:sz="0" w:space="0" w:color="auto"/>
          <w:left w:val="none" w:sz="0" w:space="0" w:color="auto"/>
          <w:bottom w:val="none" w:sz="0" w:space="0" w:color="auto"/>
          <w:right w:val="none" w:sz="0" w:space="0" w:color="auto"/>
        </w:pBdr>
        <w:spacing w:after="0" w:line="259" w:lineRule="auto"/>
        <w:ind w:left="-5" w:hanging="10"/>
      </w:pPr>
      <w:r>
        <w:rPr>
          <w:sz w:val="24"/>
        </w:rPr>
        <w:t xml:space="preserve">Budgeted cost: £8,000 </w:t>
      </w:r>
      <w:r>
        <w:t xml:space="preserve"> </w:t>
      </w:r>
    </w:p>
    <w:tbl>
      <w:tblPr>
        <w:tblStyle w:val="TableGrid"/>
        <w:tblW w:w="9486" w:type="dxa"/>
        <w:tblInd w:w="28" w:type="dxa"/>
        <w:tblCellMar>
          <w:top w:w="51" w:type="dxa"/>
          <w:left w:w="164" w:type="dxa"/>
          <w:bottom w:w="0" w:type="dxa"/>
          <w:right w:w="39" w:type="dxa"/>
        </w:tblCellMar>
        <w:tblLook w:val="04A0" w:firstRow="1" w:lastRow="0" w:firstColumn="1" w:lastColumn="0" w:noHBand="0" w:noVBand="1"/>
      </w:tblPr>
      <w:tblGrid>
        <w:gridCol w:w="2501"/>
        <w:gridCol w:w="4628"/>
        <w:gridCol w:w="2357"/>
      </w:tblGrid>
      <w:tr w:rsidR="00874EF7">
        <w:trPr>
          <w:trHeight w:val="1005"/>
        </w:trPr>
        <w:tc>
          <w:tcPr>
            <w:tcW w:w="2500"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b/>
                <w:sz w:val="24"/>
              </w:rPr>
              <w:t xml:space="preserve">Activity </w:t>
            </w:r>
            <w:r>
              <w:t xml:space="preserve"> </w:t>
            </w:r>
          </w:p>
        </w:tc>
        <w:tc>
          <w:tcPr>
            <w:tcW w:w="4628"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1" w:firstLine="0"/>
            </w:pPr>
            <w:r>
              <w:rPr>
                <w:b/>
                <w:sz w:val="24"/>
              </w:rPr>
              <w:t xml:space="preserve">Evidence that supports this approach </w:t>
            </w:r>
            <w:r>
              <w:t xml:space="preserve"> </w:t>
            </w:r>
          </w:p>
        </w:tc>
        <w:tc>
          <w:tcPr>
            <w:tcW w:w="2357"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1" w:firstLine="0"/>
            </w:pPr>
            <w:r>
              <w:rPr>
                <w:b/>
                <w:sz w:val="24"/>
              </w:rPr>
              <w:t xml:space="preserve">Challenge number(s) addressed </w:t>
            </w:r>
            <w:r>
              <w:t xml:space="preserve"> </w:t>
            </w:r>
          </w:p>
        </w:tc>
      </w:tr>
      <w:tr w:rsidR="00874EF7">
        <w:trPr>
          <w:trHeight w:val="2664"/>
        </w:trPr>
        <w:tc>
          <w:tcPr>
            <w:tcW w:w="2500"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lastRenderedPageBreak/>
              <w:t>Release of teacher to offer small group and one-to-</w:t>
            </w:r>
            <w:r>
              <w:t xml:space="preserve">one tutoring for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t xml:space="preserve">identified children in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t xml:space="preserve">Year One and Year Two in reading and writing.  </w:t>
            </w:r>
          </w:p>
        </w:tc>
        <w:tc>
          <w:tcPr>
            <w:tcW w:w="462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16" w:line="253" w:lineRule="auto"/>
              <w:ind w:left="0" w:right="126" w:firstLine="0"/>
            </w:pPr>
            <w:r>
              <w:rPr>
                <w:color w:val="000000"/>
              </w:rPr>
              <w:t xml:space="preserve">Tuition targeted at specific needs and knowledge gaps can be an effective method to support low attaining pupils or those falling behind, both one-to-one: </w:t>
            </w:r>
            <w:r>
              <w:t xml:space="preserve"> </w:t>
            </w:r>
            <w:hyperlink r:id="rId32">
              <w:r>
                <w:rPr>
                  <w:color w:val="0070C0"/>
                  <w:u w:val="single" w:color="0070C0"/>
                </w:rPr>
                <w:t>One to one tuition | EEF</w:t>
              </w:r>
            </w:hyperlink>
            <w:hyperlink r:id="rId33">
              <w:r>
                <w:rPr>
                  <w:color w:val="0070C0"/>
                </w:rPr>
                <w:t xml:space="preserve"> </w:t>
              </w:r>
            </w:hyperlink>
          </w:p>
          <w:p w:rsidR="00874EF7" w:rsidRDefault="009C108B">
            <w:pPr>
              <w:pBdr>
                <w:top w:val="none" w:sz="0" w:space="0" w:color="auto"/>
                <w:left w:val="none" w:sz="0" w:space="0" w:color="auto"/>
                <w:bottom w:val="none" w:sz="0" w:space="0" w:color="auto"/>
                <w:right w:val="none" w:sz="0" w:space="0" w:color="auto"/>
              </w:pBdr>
              <w:spacing w:after="34" w:line="265" w:lineRule="auto"/>
              <w:ind w:left="0" w:right="26" w:firstLine="0"/>
            </w:pPr>
            <w:hyperlink r:id="rId34">
              <w:r>
                <w:rPr>
                  <w:color w:val="0070C0"/>
                  <w:u w:val="single" w:color="0070C0"/>
                </w:rPr>
                <w:t>(educationendo</w:t>
              </w:r>
            </w:hyperlink>
            <w:hyperlink r:id="rId35">
              <w:r>
                <w:rPr>
                  <w:color w:val="0070C0"/>
                  <w:u w:val="single" w:color="0070C0"/>
                </w:rPr>
                <w:t>wmentfoundation.org.uk</w:t>
              </w:r>
            </w:hyperlink>
            <w:hyperlink r:id="rId36">
              <w:r>
                <w:rPr>
                  <w:color w:val="0070C0"/>
                  <w:u w:val="single" w:color="0070C0"/>
                </w:rPr>
                <w:t>)</w:t>
              </w:r>
            </w:hyperlink>
            <w:hyperlink r:id="rId37">
              <w:r>
                <w:rPr>
                  <w:color w:val="0070C0"/>
                </w:rPr>
                <w:t xml:space="preserve"> </w:t>
              </w:r>
            </w:hyperlink>
            <w:r>
              <w:rPr>
                <w:color w:val="000000"/>
              </w:rPr>
              <w:t xml:space="preserve">And in small groups: </w:t>
            </w: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hyperlink r:id="rId38">
              <w:r>
                <w:rPr>
                  <w:color w:val="0070C0"/>
                  <w:u w:val="single" w:color="0070C0"/>
                </w:rPr>
                <w:t xml:space="preserve">Small group tuition | Toolkit Strand </w:t>
              </w:r>
            </w:hyperlink>
            <w:hyperlink r:id="rId39">
              <w:r>
                <w:rPr>
                  <w:color w:val="0070C0"/>
                  <w:u w:val="single" w:color="0070C0"/>
                </w:rPr>
                <w:t>|</w:t>
              </w:r>
            </w:hyperlink>
            <w:hyperlink r:id="rId40">
              <w:r>
                <w:rPr>
                  <w:color w:val="0070C0"/>
                </w:rPr>
                <w:t xml:space="preserve"> </w:t>
              </w:r>
            </w:hyperlink>
            <w:hyperlink r:id="rId41">
              <w:r>
                <w:t xml:space="preserve"> </w:t>
              </w:r>
            </w:hyperlink>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hyperlink r:id="rId42">
              <w:r>
                <w:rPr>
                  <w:color w:val="0070C0"/>
                  <w:u w:val="single" w:color="0070C0"/>
                </w:rPr>
                <w:t>Education Endowment Foundation | EE</w:t>
              </w:r>
            </w:hyperlink>
            <w:hyperlink r:id="rId43">
              <w:r>
                <w:rPr>
                  <w:color w:val="0070C0"/>
                  <w:u w:val="single" w:color="0070C0"/>
                </w:rPr>
                <w:t>F</w:t>
              </w:r>
            </w:hyperlink>
            <w:hyperlink r:id="rId44">
              <w:r>
                <w:t xml:space="preserve">  </w:t>
              </w:r>
            </w:hyperlink>
          </w:p>
        </w:tc>
        <w:tc>
          <w:tcPr>
            <w:tcW w:w="235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t xml:space="preserve">1/2/5  </w:t>
            </w:r>
          </w:p>
        </w:tc>
      </w:tr>
      <w:tr w:rsidR="00874EF7">
        <w:trPr>
          <w:trHeight w:val="2537"/>
        </w:trPr>
        <w:tc>
          <w:tcPr>
            <w:tcW w:w="2500"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right="6" w:firstLine="0"/>
            </w:pPr>
            <w:r>
              <w:t xml:space="preserve">Teaching Assistants to deliver a range of structured interventions for children who need additional phonics, maths, reading and oral language development.   </w:t>
            </w:r>
          </w:p>
        </w:tc>
        <w:tc>
          <w:tcPr>
            <w:tcW w:w="462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89" w:line="247" w:lineRule="auto"/>
              <w:ind w:left="0" w:firstLine="0"/>
            </w:pPr>
            <w:r>
              <w:t xml:space="preserve">Targeted support by Teaching Assistants  </w:t>
            </w:r>
            <w:r>
              <w:t xml:space="preserve">trained in particular teaching approaches/interventions are evidenced to have a high impact on children’s attainment (higher than just general deployment in classrooms).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hyperlink r:id="rId45">
              <w:r>
                <w:rPr>
                  <w:color w:val="0000FF"/>
                  <w:sz w:val="24"/>
                  <w:u w:val="single" w:color="0000FF"/>
                </w:rPr>
                <w:t>Teaching Assistant Interventions | EE</w:t>
              </w:r>
            </w:hyperlink>
            <w:hyperlink r:id="rId46">
              <w:r>
                <w:rPr>
                  <w:color w:val="0000FF"/>
                  <w:sz w:val="24"/>
                  <w:u w:val="single" w:color="0000FF"/>
                </w:rPr>
                <w:t>F</w:t>
              </w:r>
            </w:hyperlink>
            <w:hyperlink r:id="rId47">
              <w:r>
                <w:rPr>
                  <w:color w:val="0000FF"/>
                  <w:sz w:val="24"/>
                </w:rPr>
                <w:t xml:space="preserve"> </w:t>
              </w:r>
            </w:hyperlink>
            <w:hyperlink r:id="rId48">
              <w:r>
                <w:t xml:space="preserve"> </w:t>
              </w:r>
            </w:hyperlink>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hyperlink r:id="rId49">
              <w:r>
                <w:rPr>
                  <w:color w:val="0000FF"/>
                  <w:sz w:val="24"/>
                  <w:u w:val="single" w:color="0000FF"/>
                </w:rPr>
                <w:t>(educationendowmentfound</w:t>
              </w:r>
              <w:r>
                <w:rPr>
                  <w:color w:val="0000FF"/>
                  <w:sz w:val="24"/>
                  <w:u w:val="single" w:color="0000FF"/>
                </w:rPr>
                <w:t>ation.org.uk</w:t>
              </w:r>
            </w:hyperlink>
            <w:hyperlink r:id="rId50">
              <w:r>
                <w:rPr>
                  <w:color w:val="0000FF"/>
                  <w:sz w:val="24"/>
                  <w:u w:val="single" w:color="0000FF"/>
                </w:rPr>
                <w:t>)</w:t>
              </w:r>
            </w:hyperlink>
            <w:hyperlink r:id="rId51">
              <w:r>
                <w:t xml:space="preserve">  </w:t>
              </w:r>
            </w:hyperlink>
          </w:p>
        </w:tc>
        <w:tc>
          <w:tcPr>
            <w:tcW w:w="235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t xml:space="preserve">1/2/4/5  </w:t>
            </w:r>
          </w:p>
        </w:tc>
      </w:tr>
    </w:tbl>
    <w:p w:rsidR="00874EF7" w:rsidRDefault="009C108B">
      <w:pPr>
        <w:pBdr>
          <w:top w:val="none" w:sz="0" w:space="0" w:color="auto"/>
          <w:left w:val="none" w:sz="0" w:space="0" w:color="auto"/>
          <w:bottom w:val="none" w:sz="0" w:space="0" w:color="auto"/>
          <w:right w:val="none" w:sz="0" w:space="0" w:color="auto"/>
        </w:pBdr>
        <w:spacing w:after="0" w:line="259" w:lineRule="auto"/>
        <w:ind w:left="14" w:firstLine="0"/>
      </w:pPr>
      <w:r>
        <w:rPr>
          <w:b/>
          <w:color w:val="104F75"/>
          <w:sz w:val="28"/>
        </w:rPr>
        <w:t xml:space="preserve"> </w:t>
      </w:r>
      <w:r>
        <w:t xml:space="preserve"> </w:t>
      </w:r>
    </w:p>
    <w:p w:rsidR="00874EF7" w:rsidRDefault="009C108B">
      <w:pPr>
        <w:pBdr>
          <w:top w:val="none" w:sz="0" w:space="0" w:color="auto"/>
          <w:left w:val="none" w:sz="0" w:space="0" w:color="auto"/>
          <w:bottom w:val="none" w:sz="0" w:space="0" w:color="auto"/>
          <w:right w:val="none" w:sz="0" w:space="0" w:color="auto"/>
        </w:pBdr>
        <w:spacing w:after="262" w:line="259" w:lineRule="auto"/>
        <w:ind w:left="14" w:firstLine="0"/>
      </w:pPr>
      <w:r>
        <w:rPr>
          <w:b/>
          <w:color w:val="104F75"/>
          <w:sz w:val="28"/>
        </w:rPr>
        <w:t xml:space="preserve"> </w:t>
      </w:r>
      <w:r>
        <w:t xml:space="preserve"> </w:t>
      </w:r>
    </w:p>
    <w:p w:rsidR="00874EF7" w:rsidRDefault="009C108B">
      <w:pPr>
        <w:pStyle w:val="Heading3"/>
        <w:spacing w:after="202"/>
        <w:ind w:left="-5"/>
      </w:pPr>
      <w:r>
        <w:t xml:space="preserve">Wider strategies (for example, related to attendance, behaviour, wellbeing)  </w:t>
      </w:r>
    </w:p>
    <w:p w:rsidR="00874EF7" w:rsidRDefault="009C108B">
      <w:pPr>
        <w:pBdr>
          <w:top w:val="none" w:sz="0" w:space="0" w:color="auto"/>
          <w:left w:val="none" w:sz="0" w:space="0" w:color="auto"/>
          <w:bottom w:val="none" w:sz="0" w:space="0" w:color="auto"/>
          <w:right w:val="none" w:sz="0" w:space="0" w:color="auto"/>
        </w:pBdr>
        <w:spacing w:after="0" w:line="259" w:lineRule="auto"/>
        <w:ind w:left="-5" w:hanging="10"/>
      </w:pPr>
      <w:r>
        <w:rPr>
          <w:sz w:val="24"/>
        </w:rPr>
        <w:t xml:space="preserve">Budgeted cost: £5,695 </w:t>
      </w:r>
      <w:r>
        <w:t xml:space="preserve"> </w:t>
      </w:r>
    </w:p>
    <w:tbl>
      <w:tblPr>
        <w:tblStyle w:val="TableGrid"/>
        <w:tblW w:w="9486" w:type="dxa"/>
        <w:tblInd w:w="28" w:type="dxa"/>
        <w:tblCellMar>
          <w:top w:w="53" w:type="dxa"/>
          <w:left w:w="107" w:type="dxa"/>
          <w:bottom w:w="0" w:type="dxa"/>
          <w:right w:w="39" w:type="dxa"/>
        </w:tblCellMar>
        <w:tblLook w:val="04A0" w:firstRow="1" w:lastRow="0" w:firstColumn="1" w:lastColumn="0" w:noHBand="0" w:noVBand="1"/>
      </w:tblPr>
      <w:tblGrid>
        <w:gridCol w:w="2525"/>
        <w:gridCol w:w="4628"/>
        <w:gridCol w:w="2333"/>
      </w:tblGrid>
      <w:tr w:rsidR="00874EF7">
        <w:trPr>
          <w:trHeight w:val="1008"/>
        </w:trPr>
        <w:tc>
          <w:tcPr>
            <w:tcW w:w="2524"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rPr>
                <w:b/>
                <w:sz w:val="24"/>
              </w:rPr>
              <w:t xml:space="preserve">Activity </w:t>
            </w:r>
            <w:r>
              <w:t xml:space="preserve"> </w:t>
            </w:r>
          </w:p>
        </w:tc>
        <w:tc>
          <w:tcPr>
            <w:tcW w:w="4628"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59" w:firstLine="0"/>
            </w:pPr>
            <w:r>
              <w:rPr>
                <w:b/>
                <w:sz w:val="24"/>
              </w:rPr>
              <w:t xml:space="preserve">Evidence that supports this approach </w:t>
            </w:r>
            <w:r>
              <w:t xml:space="preserve"> </w:t>
            </w:r>
          </w:p>
        </w:tc>
        <w:tc>
          <w:tcPr>
            <w:tcW w:w="2333" w:type="dxa"/>
            <w:tcBorders>
              <w:top w:val="single" w:sz="4" w:space="0" w:color="000000"/>
              <w:left w:val="single" w:sz="4" w:space="0" w:color="000000"/>
              <w:bottom w:val="single" w:sz="4" w:space="0" w:color="000000"/>
              <w:right w:val="single" w:sz="4" w:space="0" w:color="000000"/>
            </w:tcBorders>
            <w:shd w:val="clear" w:color="auto" w:fill="D8E2E9"/>
          </w:tcPr>
          <w:p w:rsidR="00874EF7" w:rsidRDefault="009C108B">
            <w:pPr>
              <w:pBdr>
                <w:top w:val="none" w:sz="0" w:space="0" w:color="auto"/>
                <w:left w:val="none" w:sz="0" w:space="0" w:color="auto"/>
                <w:bottom w:val="none" w:sz="0" w:space="0" w:color="auto"/>
                <w:right w:val="none" w:sz="0" w:space="0" w:color="auto"/>
              </w:pBdr>
              <w:spacing w:after="0" w:line="259" w:lineRule="auto"/>
              <w:ind w:left="59" w:firstLine="0"/>
            </w:pPr>
            <w:r>
              <w:rPr>
                <w:b/>
                <w:sz w:val="24"/>
              </w:rPr>
              <w:t xml:space="preserve">Challenge number(s) addressed </w:t>
            </w:r>
            <w:r>
              <w:t xml:space="preserve"> </w:t>
            </w:r>
          </w:p>
        </w:tc>
      </w:tr>
      <w:tr w:rsidR="00874EF7">
        <w:trPr>
          <w:trHeight w:val="3367"/>
        </w:trPr>
        <w:tc>
          <w:tcPr>
            <w:tcW w:w="2524"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62" w:line="238" w:lineRule="auto"/>
              <w:ind w:left="58" w:right="55" w:firstLine="0"/>
            </w:pPr>
            <w:r>
              <w:t xml:space="preserve">Extend the hours of two members of school staff to run a Stay and Play session for children below school age in order to model language and  communication and play for learning activities to parents.  </w:t>
            </w:r>
          </w:p>
          <w:p w:rsidR="00874EF7" w:rsidRDefault="009C108B">
            <w:pPr>
              <w:pBdr>
                <w:top w:val="none" w:sz="0" w:space="0" w:color="auto"/>
                <w:left w:val="none" w:sz="0" w:space="0" w:color="auto"/>
                <w:bottom w:val="none" w:sz="0" w:space="0" w:color="auto"/>
                <w:right w:val="none" w:sz="0" w:space="0" w:color="auto"/>
              </w:pBdr>
              <w:spacing w:after="38" w:line="259" w:lineRule="auto"/>
              <w:ind w:left="58" w:firstLine="0"/>
            </w:pP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56" w:line="274" w:lineRule="auto"/>
              <w:ind w:left="59" w:firstLine="0"/>
            </w:pPr>
            <w:r>
              <w:t xml:space="preserve">It is proven that activities that support parental engagement </w:t>
            </w:r>
            <w:r>
              <w:rPr>
                <w:color w:val="263238"/>
              </w:rPr>
              <w:t>in their children’s learning activities have a good impact on raising children’s achievement.</w:t>
            </w:r>
            <w:r>
              <w:t xml:space="preserve">  </w:t>
            </w:r>
          </w:p>
          <w:p w:rsidR="00874EF7" w:rsidRDefault="009C108B">
            <w:pPr>
              <w:pBdr>
                <w:top w:val="none" w:sz="0" w:space="0" w:color="auto"/>
                <w:left w:val="none" w:sz="0" w:space="0" w:color="auto"/>
                <w:bottom w:val="none" w:sz="0" w:space="0" w:color="auto"/>
                <w:right w:val="none" w:sz="0" w:space="0" w:color="auto"/>
              </w:pBdr>
              <w:spacing w:after="3" w:line="259" w:lineRule="auto"/>
              <w:ind w:left="59" w:firstLine="0"/>
            </w:pPr>
            <w:hyperlink r:id="rId52">
              <w:r>
                <w:rPr>
                  <w:color w:val="0000FF"/>
                  <w:sz w:val="24"/>
                  <w:u w:val="single" w:color="0000FF"/>
                </w:rPr>
                <w:t>Parental engagement | EE</w:t>
              </w:r>
            </w:hyperlink>
            <w:hyperlink r:id="rId53">
              <w:r>
                <w:rPr>
                  <w:color w:val="0000FF"/>
                  <w:sz w:val="24"/>
                  <w:u w:val="single" w:color="0000FF"/>
                </w:rPr>
                <w:t>F</w:t>
              </w:r>
            </w:hyperlink>
            <w:hyperlink r:id="rId54">
              <w:r>
                <w:rPr>
                  <w:color w:val="0000FF"/>
                  <w:sz w:val="24"/>
                </w:rPr>
                <w:t xml:space="preserve"> </w:t>
              </w:r>
            </w:hyperlink>
            <w:hyperlink r:id="rId55">
              <w:r>
                <w:t xml:space="preserve"> </w:t>
              </w:r>
            </w:hyperlink>
          </w:p>
          <w:p w:rsidR="00874EF7" w:rsidRDefault="009C108B">
            <w:pPr>
              <w:pBdr>
                <w:top w:val="none" w:sz="0" w:space="0" w:color="auto"/>
                <w:left w:val="none" w:sz="0" w:space="0" w:color="auto"/>
                <w:bottom w:val="none" w:sz="0" w:space="0" w:color="auto"/>
                <w:right w:val="none" w:sz="0" w:space="0" w:color="auto"/>
              </w:pBdr>
              <w:spacing w:after="0" w:line="259" w:lineRule="auto"/>
              <w:ind w:left="59" w:firstLine="0"/>
            </w:pPr>
            <w:hyperlink r:id="rId56">
              <w:r>
                <w:rPr>
                  <w:color w:val="0000FF"/>
                  <w:sz w:val="24"/>
                  <w:u w:val="single" w:color="0000FF"/>
                </w:rPr>
                <w:t>(educationendowmentfoundation.org.uk</w:t>
              </w:r>
            </w:hyperlink>
            <w:hyperlink r:id="rId57">
              <w:r>
                <w:rPr>
                  <w:color w:val="0000FF"/>
                  <w:sz w:val="24"/>
                  <w:u w:val="single" w:color="0000FF"/>
                </w:rPr>
                <w:t>)</w:t>
              </w:r>
            </w:hyperlink>
            <w:hyperlink r:id="rId58">
              <w:r>
                <w:t xml:space="preserve">  </w:t>
              </w:r>
            </w:hyperlink>
          </w:p>
        </w:tc>
        <w:tc>
          <w:tcPr>
            <w:tcW w:w="2333"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9" w:firstLine="0"/>
            </w:pPr>
            <w:r>
              <w:t xml:space="preserve">1/3/4  </w:t>
            </w:r>
          </w:p>
        </w:tc>
      </w:tr>
      <w:tr w:rsidR="00874EF7">
        <w:trPr>
          <w:trHeight w:val="3305"/>
        </w:trPr>
        <w:tc>
          <w:tcPr>
            <w:tcW w:w="2524"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4" w:line="239" w:lineRule="auto"/>
              <w:ind w:left="60" w:right="66" w:firstLine="0"/>
            </w:pPr>
            <w:r>
              <w:lastRenderedPageBreak/>
              <w:t xml:space="preserve">Provision of a range of </w:t>
            </w:r>
            <w:r>
              <w:tab/>
              <w:t xml:space="preserve">curriculum </w:t>
            </w:r>
          </w:p>
          <w:p w:rsidR="00874EF7" w:rsidRDefault="009C108B">
            <w:pPr>
              <w:pBdr>
                <w:top w:val="none" w:sz="0" w:space="0" w:color="auto"/>
                <w:left w:val="none" w:sz="0" w:space="0" w:color="auto"/>
                <w:bottom w:val="none" w:sz="0" w:space="0" w:color="auto"/>
                <w:right w:val="none" w:sz="0" w:space="0" w:color="auto"/>
              </w:pBdr>
              <w:spacing w:after="60" w:line="238" w:lineRule="auto"/>
              <w:ind w:left="60" w:firstLine="0"/>
            </w:pPr>
            <w:r>
              <w:t xml:space="preserve">enrichment  </w:t>
            </w:r>
            <w:r>
              <w:t xml:space="preserve">visits/visitors in order to enhance children’s knowledge of the world, give them wider experiences to draw on in their reading and writing and extend their vocabulary.   </w:t>
            </w:r>
          </w:p>
          <w:p w:rsidR="00874EF7" w:rsidRDefault="009C108B">
            <w:pPr>
              <w:pBdr>
                <w:top w:val="none" w:sz="0" w:space="0" w:color="auto"/>
                <w:left w:val="none" w:sz="0" w:space="0" w:color="auto"/>
                <w:bottom w:val="none" w:sz="0" w:space="0" w:color="auto"/>
                <w:right w:val="none" w:sz="0" w:space="0" w:color="auto"/>
              </w:pBdr>
              <w:spacing w:after="0" w:line="259" w:lineRule="auto"/>
              <w:ind w:left="60" w:firstLine="0"/>
            </w:pP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62" w:line="238" w:lineRule="auto"/>
              <w:ind w:left="58" w:firstLine="0"/>
            </w:pPr>
            <w:r>
              <w:t xml:space="preserve">We have used this to good effect over the last few years.  Children enter with low baseline in Understanding the World and Communication and Language, but results at the end of EYFS and KS1 demonstrate positive progress.   </w:t>
            </w:r>
          </w:p>
          <w:p w:rsidR="00874EF7" w:rsidRDefault="009C108B">
            <w:pPr>
              <w:pBdr>
                <w:top w:val="none" w:sz="0" w:space="0" w:color="auto"/>
                <w:left w:val="none" w:sz="0" w:space="0" w:color="auto"/>
                <w:bottom w:val="none" w:sz="0" w:space="0" w:color="auto"/>
                <w:right w:val="none" w:sz="0" w:space="0" w:color="auto"/>
              </w:pBdr>
              <w:spacing w:after="38" w:line="259" w:lineRule="auto"/>
              <w:ind w:left="58" w:firstLine="0"/>
            </w:pP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 xml:space="preserve">  </w:t>
            </w:r>
          </w:p>
        </w:tc>
        <w:tc>
          <w:tcPr>
            <w:tcW w:w="2333"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 xml:space="preserve">1/3/5  </w:t>
            </w:r>
          </w:p>
        </w:tc>
      </w:tr>
      <w:tr w:rsidR="00874EF7">
        <w:trPr>
          <w:trHeight w:val="4175"/>
        </w:trPr>
        <w:tc>
          <w:tcPr>
            <w:tcW w:w="2524"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60" w:right="2" w:firstLine="0"/>
            </w:pPr>
            <w:r>
              <w:t>Purchase of class lending library books to widen children’s reading diet and ensure that those children without reading materials at home are given additional access to high quality texts. This is to be coupled with parental support for engaging children i</w:t>
            </w:r>
            <w:r>
              <w:t xml:space="preserve">n dialogue that extends comprehension.  </w:t>
            </w:r>
          </w:p>
        </w:tc>
        <w:tc>
          <w:tcPr>
            <w:tcW w:w="462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60" w:line="238" w:lineRule="auto"/>
              <w:ind w:left="58" w:firstLine="0"/>
            </w:pPr>
            <w:r>
              <w:t>We have previously identified that Pupil Premium children who are at Expected levels struggle to reach Exceeding due to a lack of breadth in reading.  Therefore, we have provided additional extended reading material</w:t>
            </w:r>
            <w:r>
              <w:t xml:space="preserve">s and intervention to good effect.  It allows them to discuss in more detail and make comparisons and references to other texts.   </w:t>
            </w:r>
          </w:p>
          <w:p w:rsidR="00874EF7" w:rsidRDefault="009C108B">
            <w:pPr>
              <w:pBdr>
                <w:top w:val="none" w:sz="0" w:space="0" w:color="auto"/>
                <w:left w:val="none" w:sz="0" w:space="0" w:color="auto"/>
                <w:bottom w:val="none" w:sz="0" w:space="0" w:color="auto"/>
                <w:right w:val="none" w:sz="0" w:space="0" w:color="auto"/>
              </w:pBdr>
              <w:spacing w:after="40" w:line="259" w:lineRule="auto"/>
              <w:ind w:left="0" w:firstLine="0"/>
            </w:pP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t xml:space="preserve">Workshops with parents have raised confidence and awareness of how to support reading beyond decoding at home.  </w:t>
            </w:r>
          </w:p>
        </w:tc>
        <w:tc>
          <w:tcPr>
            <w:tcW w:w="2333"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 xml:space="preserve">5  </w:t>
            </w:r>
          </w:p>
        </w:tc>
      </w:tr>
      <w:tr w:rsidR="00874EF7">
        <w:trPr>
          <w:trHeight w:val="1990"/>
        </w:trPr>
        <w:tc>
          <w:tcPr>
            <w:tcW w:w="2524"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60" w:firstLine="0"/>
            </w:pPr>
            <w:r>
              <w:t xml:space="preserve">Provide free places at Breakfast Club.   </w:t>
            </w:r>
          </w:p>
        </w:tc>
        <w:tc>
          <w:tcPr>
            <w:tcW w:w="4628"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Children whose attendance and punctuality have been an issue, show increased readiness to learn and are able to take full advantage of lessons from the beginning of the day. They are able to join in with additional activities, which broaden their vocabular</w:t>
            </w:r>
            <w:r>
              <w:t xml:space="preserve">y and understanding of the world.  </w:t>
            </w:r>
          </w:p>
        </w:tc>
        <w:tc>
          <w:tcPr>
            <w:tcW w:w="2333"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58" w:firstLine="0"/>
            </w:pPr>
            <w:r>
              <w:t xml:space="preserve">1/2/3/4/5  </w:t>
            </w:r>
          </w:p>
        </w:tc>
      </w:tr>
    </w:tbl>
    <w:p w:rsidR="00874EF7" w:rsidRDefault="009C108B">
      <w:pPr>
        <w:pBdr>
          <w:top w:val="none" w:sz="0" w:space="0" w:color="auto"/>
          <w:left w:val="none" w:sz="0" w:space="0" w:color="auto"/>
          <w:bottom w:val="none" w:sz="0" w:space="0" w:color="auto"/>
          <w:right w:val="none" w:sz="0" w:space="0" w:color="auto"/>
        </w:pBdr>
        <w:spacing w:after="22" w:line="259" w:lineRule="auto"/>
        <w:ind w:left="14" w:firstLine="0"/>
      </w:pPr>
      <w:r>
        <w:rPr>
          <w:b/>
          <w:color w:val="104F75"/>
          <w:sz w:val="28"/>
        </w:rPr>
        <w:t xml:space="preserve"> </w:t>
      </w:r>
      <w:r>
        <w:t xml:space="preserve"> </w:t>
      </w:r>
    </w:p>
    <w:p w:rsidR="00874EF7" w:rsidRDefault="009C108B">
      <w:pPr>
        <w:pStyle w:val="Heading3"/>
        <w:spacing w:after="0"/>
        <w:ind w:left="-5"/>
      </w:pPr>
      <w:r>
        <w:t>E</w:t>
      </w:r>
      <w:r w:rsidR="006324FF">
        <w:t xml:space="preserve">arly </w:t>
      </w:r>
      <w:r>
        <w:t>Y</w:t>
      </w:r>
      <w:r w:rsidR="006324FF">
        <w:t xml:space="preserve">ears </w:t>
      </w:r>
      <w:r>
        <w:t>P</w:t>
      </w:r>
      <w:r w:rsidR="006324FF">
        <w:t xml:space="preserve">upil </w:t>
      </w:r>
      <w:r>
        <w:t>P</w:t>
      </w:r>
      <w:r w:rsidR="006324FF">
        <w:t>remium</w:t>
      </w:r>
      <w:r>
        <w:t xml:space="preserve">  </w:t>
      </w:r>
    </w:p>
    <w:tbl>
      <w:tblPr>
        <w:tblStyle w:val="TableGrid"/>
        <w:tblW w:w="9492" w:type="dxa"/>
        <w:tblInd w:w="24" w:type="dxa"/>
        <w:tblCellMar>
          <w:top w:w="7" w:type="dxa"/>
          <w:left w:w="108" w:type="dxa"/>
          <w:bottom w:w="0" w:type="dxa"/>
          <w:right w:w="0" w:type="dxa"/>
        </w:tblCellMar>
        <w:tblLook w:val="04A0" w:firstRow="1" w:lastRow="0" w:firstColumn="1" w:lastColumn="0" w:noHBand="0" w:noVBand="1"/>
      </w:tblPr>
      <w:tblGrid>
        <w:gridCol w:w="2547"/>
        <w:gridCol w:w="4683"/>
        <w:gridCol w:w="2262"/>
      </w:tblGrid>
      <w:tr w:rsidR="00874EF7">
        <w:trPr>
          <w:trHeight w:val="932"/>
        </w:trPr>
        <w:tc>
          <w:tcPr>
            <w:tcW w:w="7230" w:type="dxa"/>
            <w:gridSpan w:val="2"/>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2" w:firstLine="0"/>
            </w:pPr>
            <w:r>
              <w:rPr>
                <w:sz w:val="24"/>
              </w:rPr>
              <w:t xml:space="preserve">Pupil premium funding allocation this academic year </w:t>
            </w: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874EF7" w:rsidRDefault="006324FF" w:rsidP="006324FF">
            <w:pPr>
              <w:pBdr>
                <w:top w:val="none" w:sz="0" w:space="0" w:color="auto"/>
                <w:left w:val="none" w:sz="0" w:space="0" w:color="auto"/>
                <w:bottom w:val="none" w:sz="0" w:space="0" w:color="auto"/>
                <w:right w:val="none" w:sz="0" w:space="0" w:color="auto"/>
              </w:pBdr>
              <w:spacing w:after="38" w:line="259" w:lineRule="auto"/>
              <w:ind w:left="0" w:firstLine="0"/>
            </w:pPr>
            <w:r>
              <w:rPr>
                <w:sz w:val="24"/>
              </w:rPr>
              <w:t>3</w:t>
            </w:r>
            <w:r w:rsidR="009C108B">
              <w:rPr>
                <w:sz w:val="24"/>
              </w:rPr>
              <w:t xml:space="preserve"> children x £3</w:t>
            </w:r>
            <w:r>
              <w:rPr>
                <w:sz w:val="24"/>
              </w:rPr>
              <w:t>42.00</w:t>
            </w:r>
            <w:r w:rsidR="009C108B">
              <w:rPr>
                <w:sz w:val="24"/>
              </w:rPr>
              <w:t xml:space="preserve"> </w:t>
            </w:r>
            <w:r w:rsidR="009C108B">
              <w:t xml:space="preserve"> </w:t>
            </w:r>
          </w:p>
        </w:tc>
      </w:tr>
      <w:tr w:rsidR="00874EF7">
        <w:trPr>
          <w:trHeight w:val="598"/>
        </w:trPr>
        <w:tc>
          <w:tcPr>
            <w:tcW w:w="9492" w:type="dxa"/>
            <w:gridSpan w:val="3"/>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2" w:firstLine="0"/>
            </w:pPr>
            <w:r>
              <w:rPr>
                <w:sz w:val="24"/>
              </w:rPr>
              <w:t xml:space="preserve">Identified barriers: Understanding of the world, oracy and Physical development </w:t>
            </w:r>
            <w:r>
              <w:t xml:space="preserve"> </w:t>
            </w:r>
          </w:p>
        </w:tc>
      </w:tr>
      <w:tr w:rsidR="00874EF7">
        <w:trPr>
          <w:trHeight w:val="1171"/>
        </w:trPr>
        <w:tc>
          <w:tcPr>
            <w:tcW w:w="254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2" w:firstLine="0"/>
            </w:pPr>
            <w:r>
              <w:rPr>
                <w:sz w:val="24"/>
              </w:rPr>
              <w:t xml:space="preserve">Identified actions </w:t>
            </w:r>
            <w:r>
              <w:t xml:space="preserve"> </w:t>
            </w:r>
          </w:p>
        </w:tc>
        <w:tc>
          <w:tcPr>
            <w:tcW w:w="4683"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2" w:firstLine="0"/>
            </w:pPr>
            <w:r>
              <w:rPr>
                <w:sz w:val="24"/>
              </w:rPr>
              <w:t xml:space="preserve">Success Criteria </w:t>
            </w: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265" w:line="259" w:lineRule="auto"/>
              <w:ind w:left="0" w:firstLine="0"/>
            </w:pPr>
            <w:r>
              <w:rPr>
                <w:sz w:val="24"/>
              </w:rPr>
              <w:t xml:space="preserve">Cost </w:t>
            </w: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sz w:val="24"/>
              </w:rPr>
              <w:t xml:space="preserve"> </w:t>
            </w:r>
            <w:r>
              <w:t xml:space="preserve"> </w:t>
            </w:r>
          </w:p>
        </w:tc>
      </w:tr>
      <w:tr w:rsidR="00874EF7">
        <w:trPr>
          <w:trHeight w:val="3159"/>
        </w:trPr>
        <w:tc>
          <w:tcPr>
            <w:tcW w:w="254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tabs>
                <w:tab w:val="right" w:pos="2439"/>
              </w:tabs>
              <w:spacing w:after="11" w:line="259" w:lineRule="auto"/>
              <w:ind w:left="0" w:firstLine="0"/>
            </w:pPr>
            <w:r>
              <w:rPr>
                <w:sz w:val="24"/>
              </w:rPr>
              <w:lastRenderedPageBreak/>
              <w:t xml:space="preserve">Enhanced </w:t>
            </w:r>
            <w:r>
              <w:rPr>
                <w:sz w:val="24"/>
              </w:rPr>
              <w:tab/>
              <w:t xml:space="preserve">outdoor </w:t>
            </w:r>
          </w:p>
          <w:p w:rsidR="00874EF7" w:rsidRDefault="009C108B">
            <w:pPr>
              <w:pBdr>
                <w:top w:val="none" w:sz="0" w:space="0" w:color="auto"/>
                <w:left w:val="none" w:sz="0" w:space="0" w:color="auto"/>
                <w:bottom w:val="none" w:sz="0" w:space="0" w:color="auto"/>
                <w:right w:val="none" w:sz="0" w:space="0" w:color="auto"/>
              </w:pBdr>
              <w:spacing w:after="0" w:line="259" w:lineRule="auto"/>
              <w:ind w:left="2" w:firstLine="0"/>
            </w:pPr>
            <w:r>
              <w:rPr>
                <w:sz w:val="24"/>
              </w:rPr>
              <w:t xml:space="preserve">learning environment  </w:t>
            </w:r>
            <w:r>
              <w:t xml:space="preserve"> </w:t>
            </w:r>
          </w:p>
        </w:tc>
        <w:tc>
          <w:tcPr>
            <w:tcW w:w="4683"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242" w:line="288" w:lineRule="auto"/>
              <w:ind w:left="2" w:right="22" w:firstLine="0"/>
            </w:pPr>
            <w:r>
              <w:rPr>
                <w:sz w:val="24"/>
              </w:rPr>
              <w:t xml:space="preserve">Children display higher levels of physical skills, both gross and fine motor, which impact positively on their mark-making and writing skills.  </w:t>
            </w:r>
            <w:r>
              <w:t xml:space="preserve"> </w:t>
            </w:r>
          </w:p>
          <w:p w:rsidR="00874EF7" w:rsidRDefault="009C108B">
            <w:pPr>
              <w:pBdr>
                <w:top w:val="none" w:sz="0" w:space="0" w:color="auto"/>
                <w:left w:val="none" w:sz="0" w:space="0" w:color="auto"/>
                <w:bottom w:val="none" w:sz="0" w:space="0" w:color="auto"/>
                <w:right w:val="none" w:sz="0" w:space="0" w:color="auto"/>
              </w:pBdr>
              <w:spacing w:after="0" w:line="259" w:lineRule="auto"/>
              <w:ind w:left="2" w:firstLine="0"/>
            </w:pPr>
            <w:r>
              <w:rPr>
                <w:sz w:val="24"/>
              </w:rPr>
              <w:t xml:space="preserve">A wider range of play equipment allow for experiential learning, which develops their language skills and understanding of the world.  </w:t>
            </w: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874EF7" w:rsidRDefault="009C108B" w:rsidP="009C108B">
            <w:pPr>
              <w:pBdr>
                <w:top w:val="none" w:sz="0" w:space="0" w:color="auto"/>
                <w:left w:val="none" w:sz="0" w:space="0" w:color="auto"/>
                <w:bottom w:val="none" w:sz="0" w:space="0" w:color="auto"/>
                <w:right w:val="none" w:sz="0" w:space="0" w:color="auto"/>
              </w:pBdr>
              <w:spacing w:after="0" w:line="259" w:lineRule="auto"/>
              <w:ind w:left="0" w:firstLine="0"/>
            </w:pPr>
            <w:r>
              <w:rPr>
                <w:sz w:val="24"/>
              </w:rPr>
              <w:t>£1,026</w:t>
            </w:r>
            <w:r>
              <w:t xml:space="preserve"> </w:t>
            </w:r>
          </w:p>
        </w:tc>
        <w:bookmarkStart w:id="0" w:name="_GoBack"/>
        <w:bookmarkEnd w:id="0"/>
      </w:tr>
      <w:tr w:rsidR="00874EF7">
        <w:trPr>
          <w:trHeight w:val="598"/>
        </w:trPr>
        <w:tc>
          <w:tcPr>
            <w:tcW w:w="2547"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2" w:firstLine="0"/>
            </w:pPr>
            <w:r>
              <w:rPr>
                <w:sz w:val="24"/>
              </w:rPr>
              <w:t xml:space="preserve"> </w:t>
            </w:r>
            <w:r>
              <w:t xml:space="preserve"> </w:t>
            </w:r>
          </w:p>
        </w:tc>
        <w:tc>
          <w:tcPr>
            <w:tcW w:w="4683"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2" w:firstLine="0"/>
            </w:pPr>
            <w:r>
              <w:rPr>
                <w:sz w:val="24"/>
              </w:rPr>
              <w:t xml:space="preserve"> </w:t>
            </w: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874EF7" w:rsidRDefault="009C108B">
            <w:pPr>
              <w:pBdr>
                <w:top w:val="none" w:sz="0" w:space="0" w:color="auto"/>
                <w:left w:val="none" w:sz="0" w:space="0" w:color="auto"/>
                <w:bottom w:val="none" w:sz="0" w:space="0" w:color="auto"/>
                <w:right w:val="none" w:sz="0" w:space="0" w:color="auto"/>
              </w:pBdr>
              <w:spacing w:after="0" w:line="259" w:lineRule="auto"/>
              <w:ind w:left="0" w:firstLine="0"/>
            </w:pPr>
            <w:r>
              <w:rPr>
                <w:sz w:val="24"/>
              </w:rPr>
              <w:t xml:space="preserve"> </w:t>
            </w:r>
            <w:r>
              <w:t xml:space="preserve"> </w:t>
            </w:r>
          </w:p>
        </w:tc>
      </w:tr>
    </w:tbl>
    <w:p w:rsidR="00874EF7" w:rsidRDefault="009C108B">
      <w:pPr>
        <w:pBdr>
          <w:top w:val="none" w:sz="0" w:space="0" w:color="auto"/>
          <w:left w:val="none" w:sz="0" w:space="0" w:color="auto"/>
          <w:bottom w:val="none" w:sz="0" w:space="0" w:color="auto"/>
          <w:right w:val="none" w:sz="0" w:space="0" w:color="auto"/>
        </w:pBdr>
        <w:spacing w:after="0" w:line="259" w:lineRule="auto"/>
        <w:ind w:left="14" w:firstLine="0"/>
        <w:jc w:val="both"/>
      </w:pPr>
      <w:r>
        <w:rPr>
          <w:sz w:val="24"/>
        </w:rPr>
        <w:t xml:space="preserve"> </w:t>
      </w:r>
      <w:r>
        <w:t xml:space="preserve"> </w:t>
      </w:r>
    </w:p>
    <w:sectPr w:rsidR="00874EF7">
      <w:footerReference w:type="even" r:id="rId59"/>
      <w:footerReference w:type="default" r:id="rId60"/>
      <w:footerReference w:type="first" r:id="rId61"/>
      <w:pgSz w:w="11906" w:h="16838"/>
      <w:pgMar w:top="797" w:right="1405" w:bottom="1338" w:left="1119" w:header="72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108B">
      <w:pPr>
        <w:spacing w:after="0" w:line="240" w:lineRule="auto"/>
      </w:pPr>
      <w:r>
        <w:separator/>
      </w:r>
    </w:p>
  </w:endnote>
  <w:endnote w:type="continuationSeparator" w:id="0">
    <w:p w:rsidR="00000000" w:rsidRDefault="009C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F7" w:rsidRDefault="009C108B">
    <w:pPr>
      <w:pBdr>
        <w:top w:val="none" w:sz="0" w:space="0" w:color="auto"/>
        <w:left w:val="none" w:sz="0" w:space="0" w:color="auto"/>
        <w:bottom w:val="none" w:sz="0" w:space="0" w:color="auto"/>
        <w:right w:val="none" w:sz="0" w:space="0" w:color="auto"/>
      </w:pBdr>
      <w:spacing w:after="0" w:line="259" w:lineRule="auto"/>
      <w:ind w:left="0" w:right="194"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F7" w:rsidRDefault="009C108B">
    <w:pPr>
      <w:pBdr>
        <w:top w:val="none" w:sz="0" w:space="0" w:color="auto"/>
        <w:left w:val="none" w:sz="0" w:space="0" w:color="auto"/>
        <w:bottom w:val="none" w:sz="0" w:space="0" w:color="auto"/>
        <w:right w:val="none" w:sz="0" w:space="0" w:color="auto"/>
      </w:pBdr>
      <w:spacing w:after="0" w:line="259" w:lineRule="auto"/>
      <w:ind w:left="0" w:right="194" w:firstLine="0"/>
      <w:jc w:val="center"/>
    </w:pPr>
    <w:r>
      <w:fldChar w:fldCharType="begin"/>
    </w:r>
    <w:r>
      <w:instrText xml:space="preserve"> PAGE   \* MERGEFORMAT </w:instrText>
    </w:r>
    <w:r>
      <w:fldChar w:fldCharType="separate"/>
    </w:r>
    <w:r w:rsidRPr="009C108B">
      <w:rPr>
        <w:noProof/>
        <w:sz w:val="24"/>
      </w:rPr>
      <w:t>9</w:t>
    </w:r>
    <w:r>
      <w:rPr>
        <w:sz w:val="24"/>
      </w:rPr>
      <w:fldChar w:fldCharType="end"/>
    </w: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F7" w:rsidRDefault="009C108B">
    <w:pPr>
      <w:pBdr>
        <w:top w:val="none" w:sz="0" w:space="0" w:color="auto"/>
        <w:left w:val="none" w:sz="0" w:space="0" w:color="auto"/>
        <w:bottom w:val="none" w:sz="0" w:space="0" w:color="auto"/>
        <w:right w:val="none" w:sz="0" w:space="0" w:color="auto"/>
      </w:pBdr>
      <w:spacing w:after="0" w:line="259" w:lineRule="auto"/>
      <w:ind w:left="0" w:right="194"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108B">
      <w:pPr>
        <w:spacing w:after="0" w:line="240" w:lineRule="auto"/>
      </w:pPr>
      <w:r>
        <w:separator/>
      </w:r>
    </w:p>
  </w:footnote>
  <w:footnote w:type="continuationSeparator" w:id="0">
    <w:p w:rsidR="00000000" w:rsidRDefault="009C10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F7"/>
    <w:rsid w:val="006324FF"/>
    <w:rsid w:val="00874EF7"/>
    <w:rsid w:val="009C1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6160"/>
  <w15:docId w15:val="{70634EC6-C5C8-4546-A671-8410579E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230" w:line="294" w:lineRule="auto"/>
      <w:ind w:left="135" w:hanging="20"/>
    </w:pPr>
    <w:rPr>
      <w:rFonts w:ascii="Arial" w:eastAsia="Arial" w:hAnsi="Arial" w:cs="Arial"/>
      <w:color w:val="0D0D0D"/>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104F75"/>
      <w:sz w:val="32"/>
    </w:rPr>
  </w:style>
  <w:style w:type="paragraph" w:styleId="Heading2">
    <w:name w:val="heading 2"/>
    <w:next w:val="Normal"/>
    <w:link w:val="Heading2Char"/>
    <w:uiPriority w:val="9"/>
    <w:unhideWhenUsed/>
    <w:qFormat/>
    <w:pPr>
      <w:keepNext/>
      <w:keepLines/>
      <w:spacing w:after="129"/>
      <w:ind w:left="10" w:hanging="10"/>
      <w:outlineLvl w:val="1"/>
    </w:pPr>
    <w:rPr>
      <w:rFonts w:ascii="Arial" w:eastAsia="Arial" w:hAnsi="Arial" w:cs="Arial"/>
      <w:b/>
      <w:color w:val="104F75"/>
      <w:sz w:val="28"/>
    </w:rPr>
  </w:style>
  <w:style w:type="paragraph" w:styleId="Heading3">
    <w:name w:val="heading 3"/>
    <w:next w:val="Normal"/>
    <w:link w:val="Heading3Char"/>
    <w:uiPriority w:val="9"/>
    <w:unhideWhenUsed/>
    <w:qFormat/>
    <w:pPr>
      <w:keepNext/>
      <w:keepLines/>
      <w:spacing w:after="129"/>
      <w:ind w:left="10"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32"/>
    </w:rPr>
  </w:style>
  <w:style w:type="character" w:customStyle="1" w:styleId="Heading2Char">
    <w:name w:val="Heading 2 Char"/>
    <w:link w:val="Heading2"/>
    <w:rPr>
      <w:rFonts w:ascii="Arial" w:eastAsia="Arial" w:hAnsi="Arial" w:cs="Arial"/>
      <w:b/>
      <w:color w:val="104F75"/>
      <w:sz w:val="28"/>
    </w:rPr>
  </w:style>
  <w:style w:type="character" w:customStyle="1" w:styleId="Heading3Char">
    <w:name w:val="Heading 3 Char"/>
    <w:link w:val="Heading3"/>
    <w:rPr>
      <w:rFonts w:ascii="Arial" w:eastAsia="Arial" w:hAnsi="Arial" w:cs="Arial"/>
      <w:b/>
      <w:color w:val="104F75"/>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hoosing-a-phonics-teaching-programme" TargetMode="External"/><Relationship Id="rId18" Type="http://schemas.openxmlformats.org/officeDocument/2006/relationships/hyperlink" Target="https://www.gov.uk/government/publications/choosing-a-phonics-teaching-programme" TargetMode="External"/><Relationship Id="rId26" Type="http://schemas.openxmlformats.org/officeDocument/2006/relationships/hyperlink" Target="https://educationendowmentfoundation.org.uk/evidence-summaries/teaching-learning-toolkit/phonics/" TargetMode="External"/><Relationship Id="rId39" Type="http://schemas.openxmlformats.org/officeDocument/2006/relationships/hyperlink" Target="https://educationendowmentfoundation.org.uk/evidence-summaries/teaching-learning-toolkit/small-group-tuition/" TargetMode="External"/><Relationship Id="rId21" Type="http://schemas.openxmlformats.org/officeDocument/2006/relationships/hyperlink" Target="https://www.gov.uk/government/publications/choosing-a-phonics-teaching-programme" TargetMode="External"/><Relationship Id="rId34" Type="http://schemas.openxmlformats.org/officeDocument/2006/relationships/hyperlink" Target="https://educationendowmentfoundation.org.uk/education-evidence/teaching-learning-toolkit/one-to-one-tuition" TargetMode="External"/><Relationship Id="rId42" Type="http://schemas.openxmlformats.org/officeDocument/2006/relationships/hyperlink" Target="https://educationendowmentfoundation.org.uk/evidence-summaries/teaching-learning-toolkit/small-group-tuition/" TargetMode="External"/><Relationship Id="rId47" Type="http://schemas.openxmlformats.org/officeDocument/2006/relationships/hyperlink" Target="https://educationendowmentfoundation.org.uk/education-evidence/teaching-learning-toolkit/teaching-assistant-interventions" TargetMode="External"/><Relationship Id="rId50" Type="http://schemas.openxmlformats.org/officeDocument/2006/relationships/hyperlink" Target="https://educationendowmentfoundation.org.uk/education-evidence/teaching-learning-toolkit/teaching-assistant-interventions" TargetMode="External"/><Relationship Id="rId55" Type="http://schemas.openxmlformats.org/officeDocument/2006/relationships/hyperlink" Target="https://educationendowmentfoundation.org.uk/education-evidence/teaching-learning-toolkit/parental-engagement" TargetMode="External"/><Relationship Id="rId63" Type="http://schemas.openxmlformats.org/officeDocument/2006/relationships/theme" Target="theme/theme1.xml"/><Relationship Id="rId7" Type="http://schemas.openxmlformats.org/officeDocument/2006/relationships/hyperlink" Target="https://www.gov.uk/government/publications/choosing-a-phonics-teaching-programme" TargetMode="External"/><Relationship Id="rId2" Type="http://schemas.openxmlformats.org/officeDocument/2006/relationships/settings" Target="settings.xml"/><Relationship Id="rId16" Type="http://schemas.openxmlformats.org/officeDocument/2006/relationships/hyperlink" Target="https://www.gov.uk/government/publications/choosing-a-phonics-teaching-programme" TargetMode="External"/><Relationship Id="rId20" Type="http://schemas.openxmlformats.org/officeDocument/2006/relationships/hyperlink" Target="https://www.gov.uk/government/publications/choosing-a-phonics-teaching-programme" TargetMode="External"/><Relationship Id="rId29" Type="http://schemas.openxmlformats.org/officeDocument/2006/relationships/hyperlink" Target="https://educationendowmentfoundation.org.uk/evidence-summaries/teaching-learning-toolkit/phonics/" TargetMode="External"/><Relationship Id="rId41" Type="http://schemas.openxmlformats.org/officeDocument/2006/relationships/hyperlink" Target="https://educationendowmentfoundation.org.uk/evidence-summaries/teaching-learning-toolkit/small-group-tuition/" TargetMode="External"/><Relationship Id="rId54" Type="http://schemas.openxmlformats.org/officeDocument/2006/relationships/hyperlink" Target="https://educationendowmentfoundation.org.uk/education-evidence/teaching-learning-toolkit/parental-engagement"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gov.uk/government/publications/choosing-a-phonics-teaching-programme" TargetMode="External"/><Relationship Id="rId24" Type="http://schemas.openxmlformats.org/officeDocument/2006/relationships/hyperlink" Target="https://www.gov.uk/government/publications/choosing-a-phonics-teaching-programme" TargetMode="External"/><Relationship Id="rId32" Type="http://schemas.openxmlformats.org/officeDocument/2006/relationships/hyperlink" Target="https://educationendowmentfoundation.org.uk/education-evidence/teaching-learning-toolkit/one-to-one-tuition" TargetMode="External"/><Relationship Id="rId37" Type="http://schemas.openxmlformats.org/officeDocument/2006/relationships/hyperlink" Target="https://educationendowmentfoundation.org.uk/education-evidence/teaching-learning-toolkit/one-to-one-tuition" TargetMode="External"/><Relationship Id="rId40" Type="http://schemas.openxmlformats.org/officeDocument/2006/relationships/hyperlink" Target="https://educationendowmentfoundation.org.uk/evidence-summaries/teaching-learning-toolkit/small-group-tuition/" TargetMode="External"/><Relationship Id="rId45" Type="http://schemas.openxmlformats.org/officeDocument/2006/relationships/hyperlink" Target="https://educationendowmentfoundation.org.uk/education-evidence/teaching-learning-toolkit/teaching-assistant-interventions" TargetMode="External"/><Relationship Id="rId53" Type="http://schemas.openxmlformats.org/officeDocument/2006/relationships/hyperlink" Target="https://educationendowmentfoundation.org.uk/education-evidence/teaching-learning-toolkit/parental-engagement" TargetMode="External"/><Relationship Id="rId58" Type="http://schemas.openxmlformats.org/officeDocument/2006/relationships/hyperlink" Target="https://educationendowmentfoundation.org.uk/education-evidence/teaching-learning-toolkit/parental-engagement" TargetMode="External"/><Relationship Id="rId5" Type="http://schemas.openxmlformats.org/officeDocument/2006/relationships/endnotes" Target="endnotes.xml"/><Relationship Id="rId15" Type="http://schemas.openxmlformats.org/officeDocument/2006/relationships/hyperlink" Target="https://www.gov.uk/government/publications/choosing-a-phonics-teaching-programme" TargetMode="External"/><Relationship Id="rId23" Type="http://schemas.openxmlformats.org/officeDocument/2006/relationships/hyperlink" Target="https://www.gov.uk/government/publications/choosing-a-phonics-teaching-programme" TargetMode="External"/><Relationship Id="rId28" Type="http://schemas.openxmlformats.org/officeDocument/2006/relationships/hyperlink" Target="https://educationendowmentfoundation.org.uk/evidence-summaries/teaching-learning-toolkit/phonics/" TargetMode="External"/><Relationship Id="rId36" Type="http://schemas.openxmlformats.org/officeDocument/2006/relationships/hyperlink" Target="https://educationendowmentfoundation.org.uk/education-evidence/teaching-learning-toolkit/one-to-one-tuition" TargetMode="External"/><Relationship Id="rId49" Type="http://schemas.openxmlformats.org/officeDocument/2006/relationships/hyperlink" Target="https://educationendowmentfoundation.org.uk/education-evidence/teaching-learning-toolkit/teaching-assistant-interventions" TargetMode="External"/><Relationship Id="rId57" Type="http://schemas.openxmlformats.org/officeDocument/2006/relationships/hyperlink" Target="https://educationendowmentfoundation.org.uk/education-evidence/teaching-learning-toolkit/parental-engagement" TargetMode="External"/><Relationship Id="rId61" Type="http://schemas.openxmlformats.org/officeDocument/2006/relationships/footer" Target="footer3.xml"/><Relationship Id="rId10" Type="http://schemas.openxmlformats.org/officeDocument/2006/relationships/hyperlink" Target="https://www.gov.uk/government/publications/choosing-a-phonics-teaching-programme" TargetMode="External"/><Relationship Id="rId19" Type="http://schemas.openxmlformats.org/officeDocument/2006/relationships/hyperlink" Target="https://www.gov.uk/government/publications/choosing-a-phonics-teaching-programme" TargetMode="External"/><Relationship Id="rId31" Type="http://schemas.openxmlformats.org/officeDocument/2006/relationships/hyperlink" Target="https://educationendowmentfoundation.org.uk/evidence-summaries/teaching-learning-toolkit/phonics/" TargetMode="External"/><Relationship Id="rId44" Type="http://schemas.openxmlformats.org/officeDocument/2006/relationships/hyperlink" Target="https://educationendowmentfoundation.org.uk/evidence-summaries/teaching-learning-toolkit/small-group-tuition/" TargetMode="External"/><Relationship Id="rId52" Type="http://schemas.openxmlformats.org/officeDocument/2006/relationships/hyperlink" Target="https://educationendowmentfoundation.org.uk/education-evidence/teaching-learning-toolkit/parental-engagement" TargetMode="External"/><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gov.uk/government/publications/choosing-a-phonics-teaching-programme" TargetMode="External"/><Relationship Id="rId14" Type="http://schemas.openxmlformats.org/officeDocument/2006/relationships/hyperlink" Target="https://www.gov.uk/government/publications/choosing-a-phonics-teaching-programme" TargetMode="External"/><Relationship Id="rId22" Type="http://schemas.openxmlformats.org/officeDocument/2006/relationships/hyperlink" Target="https://www.gov.uk/government/publications/choosing-a-phonics-teaching-programme" TargetMode="External"/><Relationship Id="rId27" Type="http://schemas.openxmlformats.org/officeDocument/2006/relationships/hyperlink" Target="https://educationendowmentfoundation.org.uk/evidence-summaries/teaching-learning-toolkit/phonics/" TargetMode="External"/><Relationship Id="rId30" Type="http://schemas.openxmlformats.org/officeDocument/2006/relationships/hyperlink" Target="https://educationendowmentfoundation.org.uk/evidence-summaries/teaching-learning-toolkit/phonics/" TargetMode="External"/><Relationship Id="rId35" Type="http://schemas.openxmlformats.org/officeDocument/2006/relationships/hyperlink" Target="https://educationendowmentfoundation.org.uk/education-evidence/teaching-learning-toolkit/one-to-one-tuition" TargetMode="External"/><Relationship Id="rId43" Type="http://schemas.openxmlformats.org/officeDocument/2006/relationships/hyperlink" Target="https://educationendowmentfoundation.org.uk/evidence-summaries/teaching-learning-toolkit/small-group-tuition/" TargetMode="External"/><Relationship Id="rId48" Type="http://schemas.openxmlformats.org/officeDocument/2006/relationships/hyperlink" Target="https://educationendowmentfoundation.org.uk/education-evidence/teaching-learning-toolkit/teaching-assistant-interventions" TargetMode="External"/><Relationship Id="rId56" Type="http://schemas.openxmlformats.org/officeDocument/2006/relationships/hyperlink" Target="https://educationendowmentfoundation.org.uk/education-evidence/teaching-learning-toolkit/parental-engagement" TargetMode="External"/><Relationship Id="rId8" Type="http://schemas.openxmlformats.org/officeDocument/2006/relationships/hyperlink" Target="https://www.gov.uk/government/publications/choosing-a-phonics-teaching-programme" TargetMode="External"/><Relationship Id="rId51" Type="http://schemas.openxmlformats.org/officeDocument/2006/relationships/hyperlink" Target="https://educationendowmentfoundation.org.uk/education-evidence/teaching-learning-toolkit/teaching-assistant-interventions" TargetMode="External"/><Relationship Id="rId3" Type="http://schemas.openxmlformats.org/officeDocument/2006/relationships/webSettings" Target="webSettings.xml"/><Relationship Id="rId12" Type="http://schemas.openxmlformats.org/officeDocument/2006/relationships/hyperlink" Target="https://www.gov.uk/government/publications/choosing-a-phonics-teaching-programme" TargetMode="External"/><Relationship Id="rId17" Type="http://schemas.openxmlformats.org/officeDocument/2006/relationships/hyperlink" Target="https://www.gov.uk/government/publications/choosing-a-phonics-teaching-programme" TargetMode="External"/><Relationship Id="rId25" Type="http://schemas.openxmlformats.org/officeDocument/2006/relationships/hyperlink" Target="https://www.gov.uk/government/publications/choosing-a-phonics-teaching-programme" TargetMode="External"/><Relationship Id="rId33" Type="http://schemas.openxmlformats.org/officeDocument/2006/relationships/hyperlink" Target="https://educationendowmentfoundation.org.uk/education-evidence/teaching-learning-toolkit/one-to-one-tuition" TargetMode="External"/><Relationship Id="rId38" Type="http://schemas.openxmlformats.org/officeDocument/2006/relationships/hyperlink" Target="https://educationendowmentfoundation.org.uk/evidence-summaries/teaching-learning-toolkit/small-group-tuition/" TargetMode="External"/><Relationship Id="rId46" Type="http://schemas.openxmlformats.org/officeDocument/2006/relationships/hyperlink" Target="https://educationendowmentfoundation.org.uk/education-evidence/teaching-learning-toolkit/teaching-assistant-interventions"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cp:lastModifiedBy>Shahiza Valli</cp:lastModifiedBy>
  <cp:revision>2</cp:revision>
  <dcterms:created xsi:type="dcterms:W3CDTF">2023-02-21T14:45:00Z</dcterms:created>
  <dcterms:modified xsi:type="dcterms:W3CDTF">2023-02-21T14:45:00Z</dcterms:modified>
</cp:coreProperties>
</file>